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D88D7" w14:textId="101896B9" w:rsidR="00A73F39" w:rsidRDefault="00582408" w:rsidP="007F617E">
      <w:pPr>
        <w:rPr>
          <w:rStyle w:val="lbnomidioma"/>
        </w:rPr>
      </w:pPr>
      <w:r>
        <w:rPr>
          <w:rStyle w:val="lbnomidioma"/>
        </w:rPr>
        <w:fldChar w:fldCharType="begin"/>
      </w:r>
      <w:r>
        <w:rPr>
          <w:rStyle w:val="lbnomidioma"/>
        </w:rPr>
        <w:instrText>HYPERLINK "https://www.alai.org/en/congresses-and-study-days/"</w:instrText>
      </w:r>
      <w:r>
        <w:rPr>
          <w:rStyle w:val="lbnomidioma"/>
        </w:rPr>
      </w:r>
      <w:r>
        <w:rPr>
          <w:rStyle w:val="lbnomidioma"/>
        </w:rPr>
        <w:fldChar w:fldCharType="separate"/>
      </w:r>
      <w:r w:rsidR="00DA6628" w:rsidRPr="00582408">
        <w:rPr>
          <w:rStyle w:val="Hyperlink"/>
        </w:rPr>
        <w:t xml:space="preserve">ALAI </w:t>
      </w:r>
      <w:r w:rsidR="00A73F39" w:rsidRPr="00582408">
        <w:rPr>
          <w:rStyle w:val="Hyperlink"/>
        </w:rPr>
        <w:t>Conference</w:t>
      </w:r>
      <w:r>
        <w:rPr>
          <w:rStyle w:val="lbnomidioma"/>
        </w:rPr>
        <w:fldChar w:fldCharType="end"/>
      </w:r>
      <w:r w:rsidR="00A73F39">
        <w:rPr>
          <w:rStyle w:val="lbnomidioma"/>
        </w:rPr>
        <w:t xml:space="preserve"> 2021 Madrid</w:t>
      </w:r>
    </w:p>
    <w:p w14:paraId="05602B08" w14:textId="117422F3" w:rsidR="00DA6628" w:rsidRPr="003F641B" w:rsidRDefault="00DA6628" w:rsidP="007F617E">
      <w:r w:rsidRPr="003F641B">
        <w:rPr>
          <w:rStyle w:val="lbnomidioma"/>
        </w:rPr>
        <w:t>Copyright, Competition and Innovation - 29 Sept.-1 Oct. 2021</w:t>
      </w:r>
    </w:p>
    <w:p w14:paraId="43A9555C" w14:textId="2B3BC742" w:rsidR="00DA6628" w:rsidRDefault="00C67819" w:rsidP="007F617E">
      <w:r>
        <w:t>Conference paper</w:t>
      </w:r>
    </w:p>
    <w:p w14:paraId="5F03AF59" w14:textId="77777777" w:rsidR="00C67819" w:rsidRPr="003F641B" w:rsidRDefault="00C67819" w:rsidP="007F617E"/>
    <w:p w14:paraId="1FAF3108" w14:textId="14560D18" w:rsidR="00DA6628" w:rsidRPr="003F641B" w:rsidRDefault="00DA6628" w:rsidP="007F617E">
      <w:pPr>
        <w:rPr>
          <w:b/>
          <w:bCs/>
        </w:rPr>
      </w:pPr>
      <w:r w:rsidRPr="003F641B">
        <w:rPr>
          <w:b/>
          <w:bCs/>
        </w:rPr>
        <w:t>P</w:t>
      </w:r>
      <w:r w:rsidR="00A428E6" w:rsidRPr="003F641B">
        <w:rPr>
          <w:b/>
          <w:bCs/>
        </w:rPr>
        <w:t>ublic Sector Information R</w:t>
      </w:r>
      <w:r w:rsidRPr="003F641B">
        <w:rPr>
          <w:b/>
          <w:bCs/>
        </w:rPr>
        <w:t>euse and Copyright</w:t>
      </w:r>
    </w:p>
    <w:p w14:paraId="576FCB18" w14:textId="46DB0A93" w:rsidR="005225EF" w:rsidRPr="003F641B" w:rsidRDefault="00DA6628" w:rsidP="007F617E">
      <w:r w:rsidRPr="003F641B">
        <w:t xml:space="preserve">Prof. </w:t>
      </w:r>
      <w:r w:rsidR="003F641B" w:rsidRPr="003F641B">
        <w:t>D</w:t>
      </w:r>
      <w:r w:rsidRPr="003F641B">
        <w:t xml:space="preserve">r Mireille van </w:t>
      </w:r>
      <w:proofErr w:type="spellStart"/>
      <w:r w:rsidRPr="003F641B">
        <w:t>Eechoud</w:t>
      </w:r>
      <w:proofErr w:type="spellEnd"/>
      <w:r w:rsidRPr="003F641B">
        <w:t>, Institute for Information Law, University of Amsterdam (</w:t>
      </w:r>
      <w:r w:rsidR="000051B4" w:rsidRPr="003F641B">
        <w:t>Netherlands</w:t>
      </w:r>
      <w:r w:rsidRPr="003F641B">
        <w:t>)</w:t>
      </w:r>
    </w:p>
    <w:p w14:paraId="75717E1B" w14:textId="6031221D" w:rsidR="00DA6628" w:rsidRPr="003F641B" w:rsidRDefault="00DA6628" w:rsidP="007F617E"/>
    <w:p w14:paraId="57F69F08" w14:textId="1E1F9F2B" w:rsidR="00A428E6" w:rsidRPr="003F641B" w:rsidRDefault="00A515A3" w:rsidP="00082D47">
      <w:pPr>
        <w:pStyle w:val="Heading1"/>
      </w:pPr>
      <w:r w:rsidRPr="003F641B">
        <w:t>Introduction</w:t>
      </w:r>
    </w:p>
    <w:p w14:paraId="377CA262" w14:textId="1AA816B1" w:rsidR="008B462B" w:rsidRPr="003F641B" w:rsidRDefault="00A428E6" w:rsidP="007E5556">
      <w:r w:rsidRPr="003F641B">
        <w:t xml:space="preserve">Intellectual property rights in public sector information (‘PSI’) </w:t>
      </w:r>
      <w:r w:rsidR="00B06FED" w:rsidRPr="003F641B">
        <w:t>are</w:t>
      </w:r>
      <w:r w:rsidRPr="003F641B">
        <w:t xml:space="preserve"> an </w:t>
      </w:r>
      <w:r w:rsidR="001A67F9" w:rsidRPr="003F641B">
        <w:t>often-overlooked</w:t>
      </w:r>
      <w:r w:rsidRPr="003F641B">
        <w:t xml:space="preserve"> topic in international copyright. </w:t>
      </w:r>
      <w:r w:rsidR="007E5556" w:rsidRPr="003F641B">
        <w:t xml:space="preserve">The time has come however to reassess whether the international treaties are still fit for purpose. Because </w:t>
      </w:r>
      <w:r w:rsidR="00B1398D" w:rsidRPr="003F641B">
        <w:t xml:space="preserve">compared to when a provision on ‘official texts’ was first introduced in the Berne Convention nearly seventy-five years ago, the </w:t>
      </w:r>
      <w:r w:rsidR="00D66028" w:rsidRPr="003F641B">
        <w:t>number</w:t>
      </w:r>
      <w:r w:rsidR="00B1398D" w:rsidRPr="003F641B">
        <w:t xml:space="preserve"> of texts, software, databases, images in the coffers of government has grown exponentially</w:t>
      </w:r>
      <w:r w:rsidR="002D4B0E" w:rsidRPr="003F641B">
        <w:t>. That growth is due</w:t>
      </w:r>
      <w:r w:rsidR="00ED2361" w:rsidRPr="003F641B">
        <w:t xml:space="preserve"> to a multiplicity of factors, notably </w:t>
      </w:r>
      <w:r w:rsidR="002D4B0E" w:rsidRPr="003F641B">
        <w:t xml:space="preserve">the </w:t>
      </w:r>
      <w:r w:rsidR="00ED2361" w:rsidRPr="003F641B">
        <w:t>broadening of government responsibilities (</w:t>
      </w:r>
      <w:r w:rsidR="00D66028" w:rsidRPr="003F641B">
        <w:t>e.g.,</w:t>
      </w:r>
      <w:r w:rsidR="00ED2361" w:rsidRPr="003F641B">
        <w:t xml:space="preserve"> in areas such as health, mobility, the environment, education, employment), the growing complexity of modern society and the regulation</w:t>
      </w:r>
      <w:r w:rsidR="008B462B" w:rsidRPr="003F641B">
        <w:t xml:space="preserve"> and legal conflict</w:t>
      </w:r>
      <w:r w:rsidR="00ED2361" w:rsidRPr="003F641B">
        <w:t xml:space="preserve"> that come</w:t>
      </w:r>
      <w:r w:rsidR="008B462B" w:rsidRPr="003F641B">
        <w:t>s</w:t>
      </w:r>
      <w:r w:rsidR="00ED2361" w:rsidRPr="003F641B">
        <w:t xml:space="preserve"> with it, and the </w:t>
      </w:r>
      <w:r w:rsidR="002D4B0E" w:rsidRPr="003F641B">
        <w:t xml:space="preserve">rise of technologies </w:t>
      </w:r>
      <w:r w:rsidR="00ED2361" w:rsidRPr="003F641B">
        <w:t>that enable the collection, production and dissemination of information.</w:t>
      </w:r>
      <w:r w:rsidR="004E6127" w:rsidRPr="003F641B">
        <w:t xml:space="preserve"> </w:t>
      </w:r>
    </w:p>
    <w:p w14:paraId="7E6526A6" w14:textId="77777777" w:rsidR="008B462B" w:rsidRPr="003F641B" w:rsidRDefault="008B462B" w:rsidP="007E5556"/>
    <w:p w14:paraId="75F5B379" w14:textId="1258465B" w:rsidR="007E5556" w:rsidRPr="003F641B" w:rsidRDefault="004E6127" w:rsidP="007E5556">
      <w:r w:rsidRPr="003F641B">
        <w:t>It is therefore fitting that the organizers of the 2021 ALAI conference put the topic of public sector information and copyright on the agenda.</w:t>
      </w:r>
      <w:r w:rsidR="006113D9" w:rsidRPr="003F641B">
        <w:t xml:space="preserve"> When the Berne Convention was conceived, what was seen as key public sector information was mostly legislation, judicial and administrative decisions, tied to the classic functions of the ‘</w:t>
      </w:r>
      <w:r w:rsidR="000051B4" w:rsidRPr="003F641B">
        <w:t>night watch</w:t>
      </w:r>
      <w:r w:rsidR="006113D9" w:rsidRPr="003F641B">
        <w:t xml:space="preserve"> state</w:t>
      </w:r>
      <w:r w:rsidR="009562C8" w:rsidRPr="003F641B">
        <w:t>’</w:t>
      </w:r>
      <w:r w:rsidR="006113D9" w:rsidRPr="003F641B">
        <w:t xml:space="preserve">. Today the public sector collects and produces vast quantities of information. </w:t>
      </w:r>
      <w:r w:rsidR="006113D9" w:rsidRPr="003F641B">
        <w:rPr>
          <w:rFonts w:cs="Times New Roman"/>
        </w:rPr>
        <w:t>Not just laws and legal decisions, but</w:t>
      </w:r>
      <w:r w:rsidR="008B462B" w:rsidRPr="003F641B">
        <w:rPr>
          <w:rFonts w:cs="Times New Roman"/>
        </w:rPr>
        <w:t xml:space="preserve"> all manner of statistics, </w:t>
      </w:r>
      <w:r w:rsidR="006113D9" w:rsidRPr="003F641B">
        <w:rPr>
          <w:rFonts w:cs="Times New Roman"/>
        </w:rPr>
        <w:t>map</w:t>
      </w:r>
      <w:r w:rsidR="008B462B" w:rsidRPr="003F641B">
        <w:rPr>
          <w:rFonts w:cs="Times New Roman"/>
        </w:rPr>
        <w:t>s</w:t>
      </w:r>
      <w:r w:rsidR="006113D9" w:rsidRPr="003F641B">
        <w:rPr>
          <w:rFonts w:cs="Times New Roman"/>
        </w:rPr>
        <w:t xml:space="preserve">, company registers, health data, </w:t>
      </w:r>
      <w:r w:rsidR="008B462B" w:rsidRPr="003F641B">
        <w:rPr>
          <w:rFonts w:cs="Times New Roman"/>
        </w:rPr>
        <w:t xml:space="preserve">information derived from monitoring the </w:t>
      </w:r>
      <w:r w:rsidR="006113D9" w:rsidRPr="003F641B">
        <w:rPr>
          <w:rFonts w:cs="Times New Roman"/>
        </w:rPr>
        <w:t>environment</w:t>
      </w:r>
      <w:r w:rsidR="008B462B" w:rsidRPr="003F641B">
        <w:rPr>
          <w:rFonts w:cs="Times New Roman"/>
        </w:rPr>
        <w:t xml:space="preserve"> (</w:t>
      </w:r>
      <w:r w:rsidR="00D66028" w:rsidRPr="003F641B">
        <w:rPr>
          <w:rFonts w:cs="Times New Roman"/>
        </w:rPr>
        <w:t>e.g.,</w:t>
      </w:r>
      <w:r w:rsidR="00B37C26" w:rsidRPr="003F641B">
        <w:rPr>
          <w:rFonts w:cs="Times New Roman"/>
        </w:rPr>
        <w:t xml:space="preserve"> </w:t>
      </w:r>
      <w:r w:rsidR="008B462B" w:rsidRPr="003F641B">
        <w:rPr>
          <w:rFonts w:cs="Times New Roman"/>
        </w:rPr>
        <w:t>emissions, fishing stocks)</w:t>
      </w:r>
      <w:r w:rsidR="006113D9" w:rsidRPr="003F641B">
        <w:rPr>
          <w:rFonts w:cs="Times New Roman"/>
        </w:rPr>
        <w:t>,</w:t>
      </w:r>
      <w:r w:rsidR="001618D0">
        <w:rPr>
          <w:rFonts w:cs="Times New Roman"/>
        </w:rPr>
        <w:t xml:space="preserve"> in</w:t>
      </w:r>
      <w:r w:rsidR="006113D9" w:rsidRPr="003F641B">
        <w:rPr>
          <w:rFonts w:cs="Times New Roman"/>
        </w:rPr>
        <w:t xml:space="preserve"> transport, education, a</w:t>
      </w:r>
      <w:r w:rsidR="008B462B" w:rsidRPr="003F641B">
        <w:rPr>
          <w:rFonts w:cs="Times New Roman"/>
        </w:rPr>
        <w:t>nd cultural fields (</w:t>
      </w:r>
      <w:r w:rsidR="001A67F9" w:rsidRPr="003F641B">
        <w:rPr>
          <w:rFonts w:cs="Times New Roman"/>
        </w:rPr>
        <w:t>e.g.,</w:t>
      </w:r>
      <w:r w:rsidR="008B462B" w:rsidRPr="003F641B">
        <w:rPr>
          <w:rFonts w:cs="Times New Roman"/>
        </w:rPr>
        <w:t xml:space="preserve"> cultural heritage institutions). </w:t>
      </w:r>
    </w:p>
    <w:p w14:paraId="62BCF88D" w14:textId="77777777" w:rsidR="007E5556" w:rsidRPr="003F641B" w:rsidRDefault="007E5556" w:rsidP="007E5556"/>
    <w:p w14:paraId="19818923" w14:textId="6948690A" w:rsidR="007F617E" w:rsidRPr="003F641B" w:rsidRDefault="00A428E6" w:rsidP="007E5556">
      <w:r w:rsidRPr="003F641B">
        <w:t>In th</w:t>
      </w:r>
      <w:r w:rsidR="007F617E" w:rsidRPr="003F641B">
        <w:t>is contribution</w:t>
      </w:r>
      <w:r w:rsidRPr="003F641B">
        <w:t xml:space="preserve"> the focus is on copyright</w:t>
      </w:r>
      <w:r w:rsidR="002D4B0E" w:rsidRPr="003F641B">
        <w:t xml:space="preserve">, </w:t>
      </w:r>
      <w:r w:rsidR="00ED2361" w:rsidRPr="003F641B">
        <w:t>although</w:t>
      </w:r>
      <w:r w:rsidR="002D4B0E" w:rsidRPr="003F641B">
        <w:t xml:space="preserve"> much of what is said also applies to</w:t>
      </w:r>
      <w:r w:rsidRPr="003F641B">
        <w:t xml:space="preserve"> neighbouring rights. More specifically, it queries the relationship between copyright and the growing trend </w:t>
      </w:r>
      <w:r w:rsidR="007513AC" w:rsidRPr="003F641B">
        <w:t>worldwide</w:t>
      </w:r>
      <w:r w:rsidRPr="003F641B">
        <w:t xml:space="preserve"> towards allowing citizens and businesses greater access to information held by public sector</w:t>
      </w:r>
      <w:r w:rsidR="004E6127" w:rsidRPr="003F641B">
        <w:t xml:space="preserve"> bodies</w:t>
      </w:r>
      <w:r w:rsidRPr="003F641B">
        <w:t>.</w:t>
      </w:r>
      <w:r w:rsidR="007F617E" w:rsidRPr="003F641B">
        <w:t xml:space="preserve"> Traditionally, access to government information –also known as the </w:t>
      </w:r>
      <w:r w:rsidR="004E6127" w:rsidRPr="003F641B">
        <w:t>‘</w:t>
      </w:r>
      <w:r w:rsidR="007F617E" w:rsidRPr="003F641B">
        <w:t>right to know</w:t>
      </w:r>
      <w:r w:rsidR="004E6127" w:rsidRPr="003F641B">
        <w:t>’</w:t>
      </w:r>
      <w:r w:rsidR="009562C8" w:rsidRPr="003F641B">
        <w:t xml:space="preserve"> or ‘freedom of information’</w:t>
      </w:r>
      <w:r w:rsidR="007F617E" w:rsidRPr="003F641B">
        <w:t>—is regarded as an essential instrument for making governments accountable and to empower citizens to</w:t>
      </w:r>
      <w:r w:rsidR="00172DC2" w:rsidRPr="003F641B">
        <w:t xml:space="preserve"> participate in political decision-making. </w:t>
      </w:r>
      <w:r w:rsidRPr="003F641B">
        <w:t xml:space="preserve">In the past two decades or so, there is </w:t>
      </w:r>
      <w:r w:rsidR="007F617E" w:rsidRPr="003F641B">
        <w:t xml:space="preserve">also a growing recognition by </w:t>
      </w:r>
      <w:r w:rsidR="007513AC" w:rsidRPr="003F641B">
        <w:t>policymakers</w:t>
      </w:r>
      <w:r w:rsidR="007F617E" w:rsidRPr="003F641B">
        <w:t xml:space="preserve"> that enabling businesses, civil society organizations and citizens generally to re-use public sector information for different purposes has societal benefits. </w:t>
      </w:r>
      <w:r w:rsidR="00172DC2" w:rsidRPr="003F641B">
        <w:t>The idea is that there is great potential value in the rich information resources that all manner of public sector bodies hold</w:t>
      </w:r>
      <w:r w:rsidR="009562C8" w:rsidRPr="003F641B">
        <w:t>. T</w:t>
      </w:r>
      <w:r w:rsidR="00172DC2" w:rsidRPr="003F641B">
        <w:t xml:space="preserve">his potential can be tapped and </w:t>
      </w:r>
      <w:r w:rsidR="009562C8" w:rsidRPr="003F641B">
        <w:t>yield</w:t>
      </w:r>
      <w:r w:rsidR="00172DC2" w:rsidRPr="003F641B">
        <w:t xml:space="preserve"> </w:t>
      </w:r>
      <w:r w:rsidR="002F6CB7" w:rsidRPr="003F641B">
        <w:t xml:space="preserve">other </w:t>
      </w:r>
      <w:r w:rsidR="009562C8" w:rsidRPr="003F641B">
        <w:t xml:space="preserve">societal </w:t>
      </w:r>
      <w:r w:rsidR="00172DC2" w:rsidRPr="003F641B">
        <w:t>benefits</w:t>
      </w:r>
      <w:r w:rsidR="002F6CB7" w:rsidRPr="003F641B">
        <w:t xml:space="preserve"> besides </w:t>
      </w:r>
      <w:r w:rsidR="007E5556" w:rsidRPr="003F641B">
        <w:t xml:space="preserve">enhancing accountability, especially </w:t>
      </w:r>
      <w:r w:rsidR="009562C8" w:rsidRPr="003F641B">
        <w:t xml:space="preserve">through </w:t>
      </w:r>
      <w:r w:rsidR="007E5556" w:rsidRPr="003F641B">
        <w:t>the development of innovative information services</w:t>
      </w:r>
      <w:r w:rsidR="009562C8" w:rsidRPr="003F641B">
        <w:t>.</w:t>
      </w:r>
      <w:r w:rsidR="007E5556" w:rsidRPr="003F641B">
        <w:t xml:space="preserve"> </w:t>
      </w:r>
      <w:r w:rsidR="00992E49" w:rsidRPr="003F641B">
        <w:t>A</w:t>
      </w:r>
      <w:r w:rsidR="009562C8" w:rsidRPr="003F641B">
        <w:t xml:space="preserve">s a consequence, at </w:t>
      </w:r>
      <w:r w:rsidR="002D4B0E" w:rsidRPr="003F641B">
        <w:t xml:space="preserve">national, regional and international level, the idea </w:t>
      </w:r>
      <w:r w:rsidR="009562C8" w:rsidRPr="003F641B">
        <w:t xml:space="preserve">has taken hold </w:t>
      </w:r>
      <w:r w:rsidR="002D4B0E" w:rsidRPr="003F641B">
        <w:t xml:space="preserve">that </w:t>
      </w:r>
      <w:r w:rsidR="002D4B0E" w:rsidRPr="003F641B">
        <w:lastRenderedPageBreak/>
        <w:t xml:space="preserve">information held by the public sector must </w:t>
      </w:r>
      <w:r w:rsidR="00992E49" w:rsidRPr="003F641B">
        <w:t>be made available as ‘</w:t>
      </w:r>
      <w:r w:rsidR="002D4B0E" w:rsidRPr="003F641B">
        <w:t>open data</w:t>
      </w:r>
      <w:r w:rsidR="00992E49" w:rsidRPr="003F641B">
        <w:t xml:space="preserve">’ </w:t>
      </w:r>
      <w:r w:rsidR="009562C8" w:rsidRPr="003F641B">
        <w:t>whenever feasible.</w:t>
      </w:r>
      <w:r w:rsidR="00992E49" w:rsidRPr="003F641B">
        <w:rPr>
          <w:rStyle w:val="FootnoteReference"/>
        </w:rPr>
        <w:footnoteReference w:id="2"/>
      </w:r>
      <w:r w:rsidR="002D4B0E" w:rsidRPr="003F641B">
        <w:t xml:space="preserve"> </w:t>
      </w:r>
      <w:r w:rsidR="009562C8" w:rsidRPr="003F641B">
        <w:t>This has implications for any copyright or other intellectual property in public sector information.</w:t>
      </w:r>
    </w:p>
    <w:p w14:paraId="5FCE74EA" w14:textId="77777777" w:rsidR="002D4B0E" w:rsidRPr="003F641B" w:rsidRDefault="002D4B0E" w:rsidP="007E5556"/>
    <w:p w14:paraId="608D9BCB" w14:textId="709DC169" w:rsidR="007E5556" w:rsidRPr="003F641B" w:rsidRDefault="007E5556" w:rsidP="00595379">
      <w:r w:rsidRPr="003F641B">
        <w:t xml:space="preserve">This contribution </w:t>
      </w:r>
      <w:r w:rsidR="00795C95" w:rsidRPr="003F641B">
        <w:t xml:space="preserve">takes a closer look at </w:t>
      </w:r>
      <w:r w:rsidR="00B04A22" w:rsidRPr="003F641B">
        <w:t>t</w:t>
      </w:r>
      <w:r w:rsidR="00795C95" w:rsidRPr="003F641B">
        <w:t>wo</w:t>
      </w:r>
      <w:r w:rsidR="00B04A22" w:rsidRPr="003F641B">
        <w:t xml:space="preserve"> global trends</w:t>
      </w:r>
      <w:r w:rsidR="00962856" w:rsidRPr="003F641B">
        <w:t xml:space="preserve"> </w:t>
      </w:r>
      <w:r w:rsidR="00962856" w:rsidRPr="003F641B">
        <w:rPr>
          <w:rFonts w:cs="Times New Roman"/>
        </w:rPr>
        <w:t>that drive the potential for friction between copyright and public sector information</w:t>
      </w:r>
      <w:r w:rsidR="00795C95" w:rsidRPr="003F641B">
        <w:t>: the rise of access to information laws and the rise of re-use and open data policies.</w:t>
      </w:r>
      <w:r w:rsidR="00B04A22" w:rsidRPr="003F641B">
        <w:t xml:space="preserve"> </w:t>
      </w:r>
      <w:r w:rsidR="00795C95" w:rsidRPr="003F641B">
        <w:t xml:space="preserve">It then discusses the current international copyright framework from the perspective of public sector information (‘government works’). </w:t>
      </w:r>
      <w:r w:rsidR="00B04A22" w:rsidRPr="003F641B">
        <w:t>It takes on board information given in national reports. The national groups were asked –as part of the theme</w:t>
      </w:r>
      <w:r w:rsidR="00962856" w:rsidRPr="003F641B">
        <w:t xml:space="preserve"> on </w:t>
      </w:r>
      <w:r w:rsidR="00595379" w:rsidRPr="003F641B">
        <w:t xml:space="preserve">Text- and Data Mining (TDM) and Public Sector Information (PSI) in the data economy-- </w:t>
      </w:r>
      <w:r w:rsidR="00962856" w:rsidRPr="003F641B">
        <w:t xml:space="preserve">to reflect on </w:t>
      </w:r>
      <w:r w:rsidR="00595379" w:rsidRPr="003F641B">
        <w:t xml:space="preserve">how copyright rules and practices </w:t>
      </w:r>
      <w:r w:rsidR="00962856" w:rsidRPr="003F641B">
        <w:t>led to the development of databases</w:t>
      </w:r>
      <w:r w:rsidR="00595379" w:rsidRPr="003F641B">
        <w:t>, apps and other</w:t>
      </w:r>
      <w:r w:rsidR="00962856" w:rsidRPr="003F641B">
        <w:t xml:space="preserve"> services based on government data.</w:t>
      </w:r>
      <w:r w:rsidR="00595379" w:rsidRPr="003F641B">
        <w:t xml:space="preserve"> </w:t>
      </w:r>
      <w:r w:rsidR="008B462B" w:rsidRPr="003F641B">
        <w:t>M</w:t>
      </w:r>
      <w:r w:rsidR="00AF4F67" w:rsidRPr="003F641B">
        <w:t>ost</w:t>
      </w:r>
      <w:r w:rsidR="00C57BEC" w:rsidRPr="003F641B">
        <w:t xml:space="preserve"> reports found this question difficult to answer</w:t>
      </w:r>
      <w:r w:rsidR="008B462B" w:rsidRPr="003F641B">
        <w:t>. T</w:t>
      </w:r>
      <w:r w:rsidR="004E6127" w:rsidRPr="003F641B">
        <w:t>he information</w:t>
      </w:r>
      <w:r w:rsidR="000C33B5" w:rsidRPr="003F641B">
        <w:t xml:space="preserve"> that could be</w:t>
      </w:r>
      <w:r w:rsidR="004E6127" w:rsidRPr="003F641B">
        <w:t xml:space="preserve"> drawn from the national reports is </w:t>
      </w:r>
      <w:r w:rsidR="008B462B" w:rsidRPr="003F641B">
        <w:t xml:space="preserve">therefore </w:t>
      </w:r>
      <w:r w:rsidR="004E6127" w:rsidRPr="003F641B">
        <w:t>scarce</w:t>
      </w:r>
      <w:r w:rsidR="00C57BEC" w:rsidRPr="003F641B">
        <w:t xml:space="preserve">. </w:t>
      </w:r>
      <w:r w:rsidR="00BF0B03" w:rsidRPr="003F641B">
        <w:t>The contribution concludes by sketching various ways forward.</w:t>
      </w:r>
    </w:p>
    <w:p w14:paraId="2A3C4473" w14:textId="651AC2DF" w:rsidR="00BF0B03" w:rsidRPr="003F641B" w:rsidRDefault="00BF0B03" w:rsidP="00595379"/>
    <w:p w14:paraId="4EB2CFB6" w14:textId="75DFE1E5" w:rsidR="00BF0B03" w:rsidRPr="003F641B" w:rsidRDefault="002D4892" w:rsidP="002E12DA">
      <w:pPr>
        <w:pStyle w:val="Heading1"/>
      </w:pPr>
      <w:r w:rsidRPr="003F641B">
        <w:t xml:space="preserve">Trend: </w:t>
      </w:r>
      <w:r w:rsidR="00BF0B03" w:rsidRPr="003F641B">
        <w:t>The rise of access to information laws</w:t>
      </w:r>
    </w:p>
    <w:p w14:paraId="366888FE" w14:textId="77777777" w:rsidR="002E12DA" w:rsidRPr="003F641B" w:rsidRDefault="002E12DA" w:rsidP="00595379"/>
    <w:p w14:paraId="00928175" w14:textId="2A57E9ED" w:rsidR="00923AD6" w:rsidRPr="003F641B" w:rsidRDefault="000E5DED" w:rsidP="00595379">
      <w:r w:rsidRPr="003F641B">
        <w:t xml:space="preserve">The importance of rights to access government information </w:t>
      </w:r>
      <w:r w:rsidR="00D03C2E" w:rsidRPr="003F641B">
        <w:t xml:space="preserve">has long been recognized. </w:t>
      </w:r>
      <w:r w:rsidR="00BF0B03" w:rsidRPr="003F641B">
        <w:t>Sweden is famed for being one of the first countries in the world to have a statutory right for citizens to access government information. It dates back to a law on freedom of the press</w:t>
      </w:r>
      <w:r w:rsidR="00525E58" w:rsidRPr="003F641B">
        <w:t xml:space="preserve"> of 1766 which allows citizens</w:t>
      </w:r>
      <w:r w:rsidR="00BF0B03" w:rsidRPr="003F641B">
        <w:t xml:space="preserve"> </w:t>
      </w:r>
      <w:r w:rsidR="00525E58" w:rsidRPr="003F641B">
        <w:t xml:space="preserve">access to </w:t>
      </w:r>
      <w:r w:rsidR="00317EBC" w:rsidRPr="003F641B">
        <w:t xml:space="preserve">government </w:t>
      </w:r>
      <w:r w:rsidR="00525E58" w:rsidRPr="003F641B">
        <w:t>information and ensured the freedom to print and dis</w:t>
      </w:r>
      <w:r w:rsidR="00317EBC" w:rsidRPr="003F641B">
        <w:t>tribute it</w:t>
      </w:r>
      <w:r w:rsidR="00525E58" w:rsidRPr="003F641B">
        <w:t>.</w:t>
      </w:r>
      <w:r w:rsidR="00317EBC" w:rsidRPr="003F641B">
        <w:t xml:space="preserve"> Colombia seems to have been the second country enacting a right to information, in 1888.</w:t>
      </w:r>
      <w:r w:rsidR="00317EBC" w:rsidRPr="003F641B">
        <w:rPr>
          <w:rStyle w:val="FootnoteReference"/>
        </w:rPr>
        <w:footnoteReference w:id="3"/>
      </w:r>
      <w:r w:rsidR="004E6127" w:rsidRPr="003F641B">
        <w:t xml:space="preserve"> </w:t>
      </w:r>
    </w:p>
    <w:p w14:paraId="2D09D100" w14:textId="77777777" w:rsidR="00202A29" w:rsidRPr="003F641B" w:rsidRDefault="00202A29" w:rsidP="00595379"/>
    <w:p w14:paraId="0B0887C4" w14:textId="0005BF16" w:rsidR="005F54EC" w:rsidRPr="00060105" w:rsidRDefault="00D60419" w:rsidP="00060105">
      <w:pPr>
        <w:pStyle w:val="ListParagraph"/>
        <w:numPr>
          <w:ilvl w:val="1"/>
          <w:numId w:val="1"/>
        </w:numPr>
        <w:rPr>
          <w:b/>
          <w:bCs/>
        </w:rPr>
      </w:pPr>
      <w:r w:rsidRPr="00060105">
        <w:rPr>
          <w:b/>
          <w:bCs/>
        </w:rPr>
        <w:t>Nation</w:t>
      </w:r>
      <w:r w:rsidR="0063747F" w:rsidRPr="00060105">
        <w:rPr>
          <w:b/>
          <w:bCs/>
        </w:rPr>
        <w:t>al access laws and the human right to</w:t>
      </w:r>
      <w:r w:rsidR="00060105" w:rsidRPr="00060105">
        <w:rPr>
          <w:b/>
          <w:bCs/>
        </w:rPr>
        <w:t xml:space="preserve"> freedom of information</w:t>
      </w:r>
    </w:p>
    <w:p w14:paraId="116F9076" w14:textId="77777777" w:rsidR="00060105" w:rsidRPr="00060105" w:rsidRDefault="00060105" w:rsidP="00060105">
      <w:pPr>
        <w:pStyle w:val="ListParagraph"/>
        <w:ind w:left="360"/>
        <w:rPr>
          <w:b/>
          <w:bCs/>
        </w:rPr>
      </w:pPr>
    </w:p>
    <w:p w14:paraId="4C1D5367" w14:textId="658933BF" w:rsidR="00923AD6" w:rsidRPr="003F641B" w:rsidRDefault="004E6127" w:rsidP="00595379">
      <w:r w:rsidRPr="003F641B">
        <w:t xml:space="preserve">Taking a bird’s eye view of development, one can distinguish roughly three phases in the introduction of access to information laws. </w:t>
      </w:r>
      <w:r w:rsidR="00F45D1E" w:rsidRPr="003F641B">
        <w:t xml:space="preserve">Until the </w:t>
      </w:r>
      <w:proofErr w:type="spellStart"/>
      <w:r w:rsidR="00F45D1E" w:rsidRPr="003F641B">
        <w:t>mid 20</w:t>
      </w:r>
      <w:r w:rsidR="00F45D1E" w:rsidRPr="003F641B">
        <w:rPr>
          <w:vertAlign w:val="superscript"/>
        </w:rPr>
        <w:t>th</w:t>
      </w:r>
      <w:proofErr w:type="spellEnd"/>
      <w:r w:rsidR="00F45D1E" w:rsidRPr="003F641B">
        <w:t xml:space="preserve"> century (</w:t>
      </w:r>
      <w:r w:rsidR="007513AC" w:rsidRPr="003F641B">
        <w:t>pre–World</w:t>
      </w:r>
      <w:r w:rsidR="00F45D1E" w:rsidRPr="003F641B">
        <w:t xml:space="preserve"> War II), there were few states with generic access laws. In the second half of the 20</w:t>
      </w:r>
      <w:r w:rsidR="00F45D1E" w:rsidRPr="003F641B">
        <w:rPr>
          <w:vertAlign w:val="superscript"/>
        </w:rPr>
        <w:t>th</w:t>
      </w:r>
      <w:r w:rsidR="00F45D1E" w:rsidRPr="003F641B">
        <w:t xml:space="preserve"> century the modernization of governments went hand in hand with a growth in the number of countries introducing rights to access government information, especially to documents held by the executive branches</w:t>
      </w:r>
      <w:r w:rsidR="006647AB" w:rsidRPr="003F641B">
        <w:t xml:space="preserve"> such as ministries</w:t>
      </w:r>
      <w:r w:rsidR="00071395" w:rsidRPr="003F641B">
        <w:t xml:space="preserve">, city authorities and </w:t>
      </w:r>
      <w:r w:rsidR="00CF3CA0" w:rsidRPr="003F641B">
        <w:t>executive</w:t>
      </w:r>
      <w:r w:rsidR="00071395" w:rsidRPr="003F641B">
        <w:t xml:space="preserve"> agencies</w:t>
      </w:r>
      <w:r w:rsidR="00F45D1E" w:rsidRPr="003F641B">
        <w:t xml:space="preserve">. </w:t>
      </w:r>
      <w:r w:rsidR="006D223F" w:rsidRPr="003F641B">
        <w:t xml:space="preserve">Since the 1990s there has been an explosion of (supra)national laws, as </w:t>
      </w:r>
      <w:r w:rsidR="009562C8" w:rsidRPr="003F641B">
        <w:t xml:space="preserve">governments </w:t>
      </w:r>
      <w:r w:rsidR="006D223F" w:rsidRPr="003F641B">
        <w:t>recognized the potential of the web and digitization of the public sector mushroomed.</w:t>
      </w:r>
      <w:r w:rsidR="009562C8" w:rsidRPr="003F641B">
        <w:t xml:space="preserve"> </w:t>
      </w:r>
      <w:r w:rsidR="006D223F" w:rsidRPr="003F641B">
        <w:t>Indices that track the quantity and quality of right to information laws reveal that the vast majority of countries now have enacted access rights.</w:t>
      </w:r>
      <w:r w:rsidR="009B45AD" w:rsidRPr="003F641B">
        <w:t xml:space="preserve"> </w:t>
      </w:r>
      <w:r w:rsidR="008D730E" w:rsidRPr="003F641B">
        <w:t xml:space="preserve">Since </w:t>
      </w:r>
      <w:r w:rsidR="00DB2D8E" w:rsidRPr="003F641B">
        <w:t>the mid-</w:t>
      </w:r>
      <w:r w:rsidR="00CF3CA0" w:rsidRPr="003F641B">
        <w:t>nineties</w:t>
      </w:r>
      <w:r w:rsidR="00DB2D8E" w:rsidRPr="003F641B">
        <w:t xml:space="preserve"> (</w:t>
      </w:r>
      <w:r w:rsidR="007513AC" w:rsidRPr="003F641B">
        <w:t>i.e.,</w:t>
      </w:r>
      <w:r w:rsidR="00DB2D8E" w:rsidRPr="003F641B">
        <w:t xml:space="preserve"> when the </w:t>
      </w:r>
      <w:r w:rsidR="008E060B" w:rsidRPr="003F641B">
        <w:t>‘</w:t>
      </w:r>
      <w:r w:rsidR="00CF3CA0" w:rsidRPr="003F641B">
        <w:t>worldwide web</w:t>
      </w:r>
      <w:r w:rsidR="008E060B" w:rsidRPr="003F641B">
        <w:t>’</w:t>
      </w:r>
      <w:r w:rsidR="005D06D8" w:rsidRPr="003F641B">
        <w:t xml:space="preserve"> took off</w:t>
      </w:r>
      <w:r w:rsidR="00E51A8D" w:rsidRPr="003F641B">
        <w:t>)</w:t>
      </w:r>
      <w:r w:rsidR="00DB2D8E" w:rsidRPr="003F641B">
        <w:t xml:space="preserve"> </w:t>
      </w:r>
      <w:r w:rsidR="00E51A8D" w:rsidRPr="003F641B">
        <w:t xml:space="preserve">some </w:t>
      </w:r>
      <w:r w:rsidR="00E51A8D" w:rsidRPr="003F641B">
        <w:lastRenderedPageBreak/>
        <w:t>130</w:t>
      </w:r>
      <w:r w:rsidR="008D730E" w:rsidRPr="003F641B">
        <w:t xml:space="preserve"> states have adopted freedom of information laws, </w:t>
      </w:r>
      <w:r w:rsidR="00A867B6" w:rsidRPr="003F641B">
        <w:t>adding to the</w:t>
      </w:r>
      <w:r w:rsidR="00A90BBA" w:rsidRPr="003F641B">
        <w:t xml:space="preserve"> 20 states that already had them</w:t>
      </w:r>
      <w:r w:rsidR="008D3256" w:rsidRPr="003F641B">
        <w:t>.</w:t>
      </w:r>
      <w:r w:rsidR="006D223F" w:rsidRPr="003F641B">
        <w:rPr>
          <w:rStyle w:val="FootnoteReference"/>
        </w:rPr>
        <w:footnoteReference w:id="4"/>
      </w:r>
      <w:r w:rsidR="00DA7415" w:rsidRPr="003F641B">
        <w:t xml:space="preserve"> </w:t>
      </w:r>
    </w:p>
    <w:p w14:paraId="48852FF8" w14:textId="59ADA924" w:rsidR="006D223F" w:rsidRPr="003F641B" w:rsidRDefault="006D223F" w:rsidP="00595379"/>
    <w:p w14:paraId="64B056FB" w14:textId="09CFEE1A" w:rsidR="007E23A1" w:rsidRPr="003F641B" w:rsidRDefault="007C0955" w:rsidP="003F2272">
      <w:pPr>
        <w:rPr>
          <w:rStyle w:val="sb8d990e2"/>
        </w:rPr>
      </w:pPr>
      <w:r w:rsidRPr="003F641B">
        <w:rPr>
          <w:rFonts w:cs="Times New Roman"/>
        </w:rPr>
        <w:t>Another important</w:t>
      </w:r>
      <w:r w:rsidR="009A6C52" w:rsidRPr="003F641B">
        <w:rPr>
          <w:rFonts w:cs="Times New Roman"/>
        </w:rPr>
        <w:t xml:space="preserve"> reason why </w:t>
      </w:r>
      <w:r w:rsidR="0049759E" w:rsidRPr="003F641B">
        <w:rPr>
          <w:rFonts w:cs="Times New Roman"/>
        </w:rPr>
        <w:t xml:space="preserve">it has by now become routine for countries to have freedom of information acts, is that access to information is </w:t>
      </w:r>
      <w:r w:rsidR="00F45D1E" w:rsidRPr="003F641B">
        <w:rPr>
          <w:rFonts w:cs="Times New Roman"/>
        </w:rPr>
        <w:t xml:space="preserve">increasingly recognized as a </w:t>
      </w:r>
      <w:r w:rsidR="008B2439">
        <w:rPr>
          <w:rFonts w:cs="Times New Roman"/>
        </w:rPr>
        <w:t>human (</w:t>
      </w:r>
      <w:r w:rsidR="00F45D1E" w:rsidRPr="003F641B">
        <w:rPr>
          <w:rFonts w:cs="Times New Roman"/>
        </w:rPr>
        <w:t>fundamental</w:t>
      </w:r>
      <w:r w:rsidR="008B2439">
        <w:rPr>
          <w:rFonts w:cs="Times New Roman"/>
        </w:rPr>
        <w:t>)</w:t>
      </w:r>
      <w:r w:rsidR="00F45D1E" w:rsidRPr="003F641B">
        <w:rPr>
          <w:rFonts w:cs="Times New Roman"/>
        </w:rPr>
        <w:t xml:space="preserve"> right</w:t>
      </w:r>
      <w:r w:rsidR="0049759E" w:rsidRPr="003F641B">
        <w:rPr>
          <w:rFonts w:cs="Times New Roman"/>
        </w:rPr>
        <w:t>.</w:t>
      </w:r>
      <w:r w:rsidR="003E706C" w:rsidRPr="003F641B">
        <w:rPr>
          <w:rFonts w:cs="Times New Roman"/>
        </w:rPr>
        <w:t xml:space="preserve"> </w:t>
      </w:r>
      <w:r w:rsidR="00316A24" w:rsidRPr="003F641B">
        <w:rPr>
          <w:rFonts w:cs="Times New Roman"/>
        </w:rPr>
        <w:t xml:space="preserve">In the UN context, </w:t>
      </w:r>
      <w:r w:rsidR="00092B32" w:rsidRPr="003F641B">
        <w:rPr>
          <w:rFonts w:cs="Times New Roman"/>
        </w:rPr>
        <w:t>since 2000 the need for governments to enact effective laws</w:t>
      </w:r>
      <w:r w:rsidR="00ED1AD7" w:rsidRPr="003F641B">
        <w:rPr>
          <w:rFonts w:cs="Times New Roman"/>
        </w:rPr>
        <w:t xml:space="preserve"> that ensure access to </w:t>
      </w:r>
      <w:r w:rsidR="009E59E8" w:rsidRPr="003F641B">
        <w:rPr>
          <w:rFonts w:cs="Times New Roman"/>
        </w:rPr>
        <w:t xml:space="preserve">government information is a staple on the </w:t>
      </w:r>
      <w:r w:rsidR="00656402" w:rsidRPr="003F641B">
        <w:rPr>
          <w:rFonts w:cs="Times New Roman"/>
        </w:rPr>
        <w:t>wider freedom of information agenda.</w:t>
      </w:r>
      <w:r w:rsidR="00656402" w:rsidRPr="003F641B">
        <w:rPr>
          <w:rStyle w:val="FootnoteReference"/>
          <w:rFonts w:cs="Times New Roman"/>
        </w:rPr>
        <w:footnoteReference w:id="5"/>
      </w:r>
      <w:r w:rsidR="0049759E" w:rsidRPr="003F641B">
        <w:rPr>
          <w:rFonts w:cs="Times New Roman"/>
        </w:rPr>
        <w:t xml:space="preserve"> </w:t>
      </w:r>
      <w:r w:rsidR="002D5E1F" w:rsidRPr="003F641B">
        <w:rPr>
          <w:rFonts w:cs="Times New Roman"/>
        </w:rPr>
        <w:t>Key regional human rights courts</w:t>
      </w:r>
      <w:r w:rsidR="00FA1D4A" w:rsidRPr="003F641B">
        <w:rPr>
          <w:rFonts w:cs="Times New Roman"/>
        </w:rPr>
        <w:t xml:space="preserve"> have recognized a right to access. T</w:t>
      </w:r>
      <w:r w:rsidR="001C7DFD" w:rsidRPr="003F641B">
        <w:rPr>
          <w:rFonts w:cs="Times New Roman"/>
        </w:rPr>
        <w:t xml:space="preserve">he </w:t>
      </w:r>
      <w:r w:rsidR="00BD4938" w:rsidRPr="003F641B">
        <w:rPr>
          <w:rFonts w:cs="Times New Roman"/>
        </w:rPr>
        <w:t>Inter-</w:t>
      </w:r>
      <w:r w:rsidR="006B1410" w:rsidRPr="003F641B">
        <w:rPr>
          <w:rFonts w:cs="Times New Roman"/>
        </w:rPr>
        <w:t>American</w:t>
      </w:r>
      <w:r w:rsidR="00BD4938" w:rsidRPr="003F641B">
        <w:rPr>
          <w:rFonts w:cs="Times New Roman"/>
        </w:rPr>
        <w:t xml:space="preserve"> court </w:t>
      </w:r>
      <w:r w:rsidR="00FA1D4A" w:rsidRPr="003F641B">
        <w:rPr>
          <w:rFonts w:cs="Times New Roman"/>
        </w:rPr>
        <w:t xml:space="preserve">on human rights </w:t>
      </w:r>
      <w:r w:rsidR="001C7DFD" w:rsidRPr="003F641B">
        <w:rPr>
          <w:rFonts w:cs="Times New Roman"/>
        </w:rPr>
        <w:t xml:space="preserve">held in </w:t>
      </w:r>
      <w:r w:rsidR="00BD4938" w:rsidRPr="003F641B">
        <w:rPr>
          <w:rFonts w:cs="Times New Roman"/>
        </w:rPr>
        <w:t>200</w:t>
      </w:r>
      <w:r w:rsidR="00CD5070" w:rsidRPr="003F641B">
        <w:rPr>
          <w:rFonts w:cs="Times New Roman"/>
        </w:rPr>
        <w:t>6</w:t>
      </w:r>
      <w:r w:rsidR="00BD4938" w:rsidRPr="003F641B">
        <w:rPr>
          <w:rFonts w:cs="Times New Roman"/>
        </w:rPr>
        <w:t xml:space="preserve"> </w:t>
      </w:r>
      <w:r w:rsidR="00126C9B" w:rsidRPr="003F641B">
        <w:rPr>
          <w:rFonts w:cs="Times New Roman"/>
        </w:rPr>
        <w:t xml:space="preserve">that access to government information is part and parcel of the </w:t>
      </w:r>
      <w:r w:rsidR="00BD4938" w:rsidRPr="003F641B">
        <w:rPr>
          <w:rFonts w:cs="Times New Roman"/>
        </w:rPr>
        <w:t xml:space="preserve">right to freedom of expression </w:t>
      </w:r>
      <w:r w:rsidR="006B1410" w:rsidRPr="003F641B">
        <w:rPr>
          <w:rFonts w:cs="Times New Roman"/>
        </w:rPr>
        <w:t>guaranteed</w:t>
      </w:r>
      <w:r w:rsidR="00C16C13" w:rsidRPr="003F641B">
        <w:rPr>
          <w:rFonts w:cs="Times New Roman"/>
        </w:rPr>
        <w:t xml:space="preserve"> by Article 5 of the American</w:t>
      </w:r>
      <w:r w:rsidR="00C16C13" w:rsidRPr="003F641B">
        <w:t xml:space="preserve"> </w:t>
      </w:r>
      <w:r w:rsidR="00FA5C05" w:rsidRPr="003F641B">
        <w:t>Convention on human rights</w:t>
      </w:r>
      <w:r w:rsidR="0095312A" w:rsidRPr="003F641B">
        <w:t>.</w:t>
      </w:r>
      <w:r w:rsidR="00126C9B" w:rsidRPr="003F641B">
        <w:rPr>
          <w:rStyle w:val="FootnoteReference"/>
          <w:rFonts w:cs="Times New Roman"/>
        </w:rPr>
        <w:footnoteReference w:id="6"/>
      </w:r>
      <w:r w:rsidR="0095312A" w:rsidRPr="003F641B">
        <w:t xml:space="preserve"> In a line of cases since 2009, the European Court of Human Rights has developed a right to access government information under </w:t>
      </w:r>
      <w:r w:rsidR="00717325" w:rsidRPr="003F641B">
        <w:t>A</w:t>
      </w:r>
      <w:r w:rsidR="0095312A" w:rsidRPr="003F641B">
        <w:t>rticle 10 of the Council of Europe’s Convention</w:t>
      </w:r>
      <w:r w:rsidR="00881BA5" w:rsidRPr="003F641B">
        <w:t xml:space="preserve"> on Human Rights</w:t>
      </w:r>
      <w:r w:rsidR="00767B22" w:rsidRPr="003F641B">
        <w:t xml:space="preserve"> (ECHR)</w:t>
      </w:r>
      <w:r w:rsidR="00881BA5" w:rsidRPr="003F641B">
        <w:t xml:space="preserve">, which </w:t>
      </w:r>
      <w:r w:rsidR="006B1410" w:rsidRPr="003F641B">
        <w:t>guarantees</w:t>
      </w:r>
      <w:r w:rsidR="00881BA5" w:rsidRPr="003F641B">
        <w:t xml:space="preserve"> freedom of expression.</w:t>
      </w:r>
      <w:r w:rsidR="00265566" w:rsidRPr="003F641B">
        <w:t xml:space="preserve"> </w:t>
      </w:r>
      <w:r w:rsidR="00717325" w:rsidRPr="003F641B">
        <w:t xml:space="preserve">It is not the case that under Article 10 </w:t>
      </w:r>
      <w:r w:rsidR="00C815BB" w:rsidRPr="003F641B">
        <w:t xml:space="preserve">ECHR everyone has an unreserved right to access, </w:t>
      </w:r>
      <w:r w:rsidR="008E026B" w:rsidRPr="003F641B">
        <w:t xml:space="preserve">broadly speaking </w:t>
      </w:r>
      <w:r w:rsidR="001C6B79" w:rsidRPr="003F641B">
        <w:t xml:space="preserve">access needs to be </w:t>
      </w:r>
      <w:r w:rsidR="001C6B79" w:rsidRPr="003F641B">
        <w:rPr>
          <w:rStyle w:val="sb8d990e2"/>
        </w:rPr>
        <w:t>instrumental for the exercise of the right to freedom of expression</w:t>
      </w:r>
      <w:r w:rsidR="00AE2F1A" w:rsidRPr="003F641B">
        <w:rPr>
          <w:rStyle w:val="sb8d990e2"/>
        </w:rPr>
        <w:t>,</w:t>
      </w:r>
      <w:r w:rsidR="005115FD" w:rsidRPr="003F641B">
        <w:rPr>
          <w:rStyle w:val="sb8d990e2"/>
        </w:rPr>
        <w:t xml:space="preserve"> </w:t>
      </w:r>
      <w:r w:rsidR="005C63B0" w:rsidRPr="003F641B">
        <w:rPr>
          <w:rStyle w:val="sb8d990e2"/>
        </w:rPr>
        <w:t>and the refusal an unjustified</w:t>
      </w:r>
      <w:r w:rsidR="003A1EC6" w:rsidRPr="003F641B">
        <w:rPr>
          <w:rStyle w:val="sb8d990e2"/>
        </w:rPr>
        <w:t xml:space="preserve"> interference.</w:t>
      </w:r>
      <w:r w:rsidR="00982761" w:rsidRPr="003F641B">
        <w:rPr>
          <w:rStyle w:val="FootnoteReference"/>
        </w:rPr>
        <w:footnoteReference w:id="7"/>
      </w:r>
      <w:r w:rsidR="003A1EC6" w:rsidRPr="003F641B">
        <w:rPr>
          <w:rStyle w:val="sb8d990e2"/>
        </w:rPr>
        <w:t xml:space="preserve"> </w:t>
      </w:r>
      <w:r w:rsidR="00A91579" w:rsidRPr="003F641B">
        <w:rPr>
          <w:rStyle w:val="sb8d990e2"/>
        </w:rPr>
        <w:t xml:space="preserve">If </w:t>
      </w:r>
      <w:r w:rsidR="00883D0C" w:rsidRPr="003F641B">
        <w:rPr>
          <w:rStyle w:val="sb8d990e2"/>
        </w:rPr>
        <w:t>a person or organization that fulfils a public watchdog function</w:t>
      </w:r>
      <w:r w:rsidR="008B3CF1" w:rsidRPr="003F641B">
        <w:rPr>
          <w:rStyle w:val="sb8d990e2"/>
        </w:rPr>
        <w:t>, like the press</w:t>
      </w:r>
      <w:r w:rsidR="00C72B95" w:rsidRPr="003F641B">
        <w:rPr>
          <w:rStyle w:val="sb8d990e2"/>
        </w:rPr>
        <w:t xml:space="preserve"> </w:t>
      </w:r>
      <w:r w:rsidR="00C0282E" w:rsidRPr="003F641B">
        <w:rPr>
          <w:rStyle w:val="sb8d990e2"/>
        </w:rPr>
        <w:t>and certain</w:t>
      </w:r>
      <w:r w:rsidR="00C72B95" w:rsidRPr="003F641B">
        <w:rPr>
          <w:rStyle w:val="sb8d990e2"/>
        </w:rPr>
        <w:t xml:space="preserve"> civil society organizations</w:t>
      </w:r>
      <w:r w:rsidR="00C0282E" w:rsidRPr="003F641B">
        <w:rPr>
          <w:rStyle w:val="sb8d990e2"/>
        </w:rPr>
        <w:t xml:space="preserve"> do, wants to report on a matter of public interest, for which </w:t>
      </w:r>
      <w:r w:rsidR="000022A3" w:rsidRPr="003F641B">
        <w:rPr>
          <w:rStyle w:val="sb8d990e2"/>
        </w:rPr>
        <w:t>already existing</w:t>
      </w:r>
      <w:r w:rsidR="00095048" w:rsidRPr="003F641B">
        <w:rPr>
          <w:rStyle w:val="sb8d990e2"/>
        </w:rPr>
        <w:t xml:space="preserve"> information </w:t>
      </w:r>
      <w:r w:rsidR="000022A3" w:rsidRPr="003F641B">
        <w:rPr>
          <w:rStyle w:val="sb8d990e2"/>
        </w:rPr>
        <w:t xml:space="preserve">(e.g. reports, other documents, datasets) </w:t>
      </w:r>
      <w:r w:rsidR="00180AE1" w:rsidRPr="003F641B">
        <w:rPr>
          <w:rStyle w:val="sb8d990e2"/>
        </w:rPr>
        <w:t xml:space="preserve">held by a public sector body is </w:t>
      </w:r>
      <w:r w:rsidR="00DD20C5" w:rsidRPr="003F641B">
        <w:rPr>
          <w:rStyle w:val="sb8d990e2"/>
        </w:rPr>
        <w:t>relevant</w:t>
      </w:r>
      <w:r w:rsidR="00C45D1F" w:rsidRPr="003F641B">
        <w:rPr>
          <w:rStyle w:val="sb8d990e2"/>
        </w:rPr>
        <w:t>, then a refusal to grant access constitute</w:t>
      </w:r>
      <w:r w:rsidR="003E6D44" w:rsidRPr="003F641B">
        <w:rPr>
          <w:rStyle w:val="sb8d990e2"/>
        </w:rPr>
        <w:t>s</w:t>
      </w:r>
      <w:r w:rsidR="00C45D1F" w:rsidRPr="003F641B">
        <w:rPr>
          <w:rStyle w:val="sb8d990e2"/>
        </w:rPr>
        <w:t xml:space="preserve"> </w:t>
      </w:r>
      <w:r w:rsidR="003E6D44" w:rsidRPr="003F641B">
        <w:rPr>
          <w:rStyle w:val="sb8d990e2"/>
        </w:rPr>
        <w:t xml:space="preserve">an </w:t>
      </w:r>
      <w:r w:rsidR="00C45D1F" w:rsidRPr="003F641B">
        <w:rPr>
          <w:rStyle w:val="sb8d990e2"/>
        </w:rPr>
        <w:t>interference</w:t>
      </w:r>
      <w:r w:rsidR="00070E4F" w:rsidRPr="003F641B">
        <w:rPr>
          <w:rStyle w:val="sb8d990e2"/>
        </w:rPr>
        <w:t>.</w:t>
      </w:r>
      <w:r w:rsidR="003F7016" w:rsidRPr="003F641B">
        <w:rPr>
          <w:rStyle w:val="FootnoteReference"/>
        </w:rPr>
        <w:footnoteReference w:id="8"/>
      </w:r>
      <w:r w:rsidR="00070E4F" w:rsidRPr="003F641B">
        <w:rPr>
          <w:rStyle w:val="sb8d990e2"/>
        </w:rPr>
        <w:t xml:space="preserve"> It can of course be the case that there are legitimate interests against disclosure such a</w:t>
      </w:r>
      <w:r w:rsidR="007E3050" w:rsidRPr="003F641B">
        <w:rPr>
          <w:rStyle w:val="sb8d990e2"/>
        </w:rPr>
        <w:t xml:space="preserve">s the protection of </w:t>
      </w:r>
      <w:r w:rsidR="00070E4F" w:rsidRPr="003F641B">
        <w:rPr>
          <w:rStyle w:val="sb8d990e2"/>
        </w:rPr>
        <w:t xml:space="preserve"> privacy</w:t>
      </w:r>
      <w:r w:rsidR="007E3050" w:rsidRPr="003F641B">
        <w:rPr>
          <w:rStyle w:val="sb8d990e2"/>
        </w:rPr>
        <w:t xml:space="preserve"> or national security. To what extent</w:t>
      </w:r>
      <w:r w:rsidR="009D24C2" w:rsidRPr="003F641B">
        <w:rPr>
          <w:rStyle w:val="sb8d990e2"/>
        </w:rPr>
        <w:t xml:space="preserve"> the existence of copyright or other intellectual property rights justifies</w:t>
      </w:r>
      <w:r w:rsidR="00733339" w:rsidRPr="003F641B">
        <w:rPr>
          <w:rStyle w:val="sb8d990e2"/>
        </w:rPr>
        <w:t xml:space="preserve"> a refusal to grant access </w:t>
      </w:r>
      <w:r w:rsidR="00C04267" w:rsidRPr="003F641B">
        <w:rPr>
          <w:rStyle w:val="sb8d990e2"/>
        </w:rPr>
        <w:t xml:space="preserve">under the ECHR </w:t>
      </w:r>
      <w:r w:rsidR="00733339" w:rsidRPr="003F641B">
        <w:rPr>
          <w:rStyle w:val="sb8d990e2"/>
        </w:rPr>
        <w:t>is unclear as there is no caselaw yet on this by the European Court of Human Rights.</w:t>
      </w:r>
    </w:p>
    <w:p w14:paraId="65E10C1A" w14:textId="77777777" w:rsidR="007E23A1" w:rsidRPr="003F641B" w:rsidRDefault="007E23A1" w:rsidP="003F2272">
      <w:pPr>
        <w:rPr>
          <w:rStyle w:val="sb8d990e2"/>
        </w:rPr>
      </w:pPr>
    </w:p>
    <w:p w14:paraId="5FB92926" w14:textId="2D731D92" w:rsidR="00F318D6" w:rsidRPr="003F641B" w:rsidRDefault="00D25AFD" w:rsidP="00D30FEF">
      <w:pPr>
        <w:rPr>
          <w:b/>
          <w:bCs/>
        </w:rPr>
      </w:pPr>
      <w:r w:rsidRPr="003F641B">
        <w:rPr>
          <w:b/>
          <w:bCs/>
        </w:rPr>
        <w:t xml:space="preserve">2.2 </w:t>
      </w:r>
      <w:r w:rsidR="00E52A9C" w:rsidRPr="003F641B">
        <w:rPr>
          <w:b/>
          <w:bCs/>
        </w:rPr>
        <w:t>Copyright as</w:t>
      </w:r>
      <w:r w:rsidRPr="003F641B">
        <w:rPr>
          <w:b/>
          <w:bCs/>
        </w:rPr>
        <w:t xml:space="preserve"> ground to refuse a</w:t>
      </w:r>
      <w:r w:rsidR="00F318D6" w:rsidRPr="003F641B">
        <w:rPr>
          <w:b/>
          <w:bCs/>
        </w:rPr>
        <w:t xml:space="preserve">ccess to </w:t>
      </w:r>
      <w:r w:rsidR="007035CE" w:rsidRPr="003F641B">
        <w:rPr>
          <w:b/>
          <w:bCs/>
        </w:rPr>
        <w:t xml:space="preserve">public sector </w:t>
      </w:r>
      <w:r w:rsidR="00F318D6" w:rsidRPr="003F641B">
        <w:rPr>
          <w:b/>
          <w:bCs/>
        </w:rPr>
        <w:t>information</w:t>
      </w:r>
    </w:p>
    <w:p w14:paraId="53801003" w14:textId="77777777" w:rsidR="005C36E5" w:rsidRDefault="005C36E5" w:rsidP="00D30FEF"/>
    <w:p w14:paraId="195F9596" w14:textId="285B595D" w:rsidR="001034FD" w:rsidRPr="003F641B" w:rsidRDefault="00427860" w:rsidP="00D30FEF">
      <w:r w:rsidRPr="003F641B">
        <w:t>At the domestic level, a</w:t>
      </w:r>
      <w:r w:rsidR="00202A29" w:rsidRPr="003F641B">
        <w:t xml:space="preserve">ccess to information rights tend to be legislated in a variety of </w:t>
      </w:r>
      <w:r w:rsidR="007513AC" w:rsidRPr="003F641B">
        <w:t>instruments and</w:t>
      </w:r>
      <w:r w:rsidR="00202A29" w:rsidRPr="003F641B">
        <w:t xml:space="preserve"> can be very generic in scope or very specific, covering only certain types of documents or certain public institutions. How the potential conflict between copyright in documents and rights to access is resolved varies greatly. Oftentimes, there are no clear rules. </w:t>
      </w:r>
      <w:r w:rsidR="00564793" w:rsidRPr="003F641B">
        <w:rPr>
          <w:rStyle w:val="sb8d990e2"/>
        </w:rPr>
        <w:t xml:space="preserve">National </w:t>
      </w:r>
      <w:r w:rsidR="007D2303" w:rsidRPr="003F641B">
        <w:rPr>
          <w:rStyle w:val="sb8d990e2"/>
        </w:rPr>
        <w:t xml:space="preserve">access to information laws typically recognize </w:t>
      </w:r>
      <w:r w:rsidR="007F14F5" w:rsidRPr="003F641B">
        <w:rPr>
          <w:rStyle w:val="sb8d990e2"/>
        </w:rPr>
        <w:t xml:space="preserve">that intellectual property rights of third parties can </w:t>
      </w:r>
      <w:r w:rsidR="007062C0" w:rsidRPr="003F641B">
        <w:rPr>
          <w:rStyle w:val="sb8d990e2"/>
        </w:rPr>
        <w:t xml:space="preserve">justify a refusal. But it is by no means the case that copyright trumps access </w:t>
      </w:r>
      <w:r w:rsidR="007062C0" w:rsidRPr="003F641B">
        <w:rPr>
          <w:rStyle w:val="sb8d990e2"/>
        </w:rPr>
        <w:lastRenderedPageBreak/>
        <w:t xml:space="preserve">rights. For example, the Model Inter-American law </w:t>
      </w:r>
      <w:r w:rsidR="0070545E" w:rsidRPr="003F641B">
        <w:rPr>
          <w:rStyle w:val="sb8d990e2"/>
        </w:rPr>
        <w:t xml:space="preserve">on access to information </w:t>
      </w:r>
      <w:r w:rsidR="001F51E8" w:rsidRPr="003F641B">
        <w:rPr>
          <w:rStyle w:val="sb8d990e2"/>
        </w:rPr>
        <w:t>sets a</w:t>
      </w:r>
      <w:r w:rsidR="008556DB" w:rsidRPr="003F641B">
        <w:rPr>
          <w:rStyle w:val="sb8d990e2"/>
        </w:rPr>
        <w:t xml:space="preserve"> </w:t>
      </w:r>
      <w:r w:rsidR="004D2D44" w:rsidRPr="003F641B">
        <w:rPr>
          <w:rStyle w:val="sb8d990e2"/>
        </w:rPr>
        <w:t>two-prong</w:t>
      </w:r>
      <w:r w:rsidR="001F51E8" w:rsidRPr="003F641B">
        <w:rPr>
          <w:rStyle w:val="sb8d990e2"/>
        </w:rPr>
        <w:t xml:space="preserve"> standard</w:t>
      </w:r>
      <w:r w:rsidR="008556DB" w:rsidRPr="003F641B">
        <w:rPr>
          <w:rStyle w:val="sb8d990e2"/>
        </w:rPr>
        <w:t xml:space="preserve"> for necessity and harm:</w:t>
      </w:r>
      <w:r w:rsidR="001F51E8" w:rsidRPr="003F641B">
        <w:rPr>
          <w:rStyle w:val="sb8d990e2"/>
        </w:rPr>
        <w:t xml:space="preserve"> </w:t>
      </w:r>
      <w:r w:rsidR="009A18B7" w:rsidRPr="003F641B">
        <w:rPr>
          <w:rStyle w:val="sb8d990e2"/>
        </w:rPr>
        <w:t xml:space="preserve">it </w:t>
      </w:r>
      <w:r w:rsidR="008556DB" w:rsidRPr="003F641B">
        <w:rPr>
          <w:rStyle w:val="sb8d990e2"/>
        </w:rPr>
        <w:t xml:space="preserve">must be </w:t>
      </w:r>
      <w:r w:rsidR="009A18B7" w:rsidRPr="003F641B">
        <w:rPr>
          <w:rStyle w:val="sb8d990e2"/>
        </w:rPr>
        <w:t>l</w:t>
      </w:r>
      <w:r w:rsidR="007062C0" w:rsidRPr="003F641B">
        <w:t xml:space="preserve">egitimate and </w:t>
      </w:r>
      <w:r w:rsidR="007062C0" w:rsidRPr="003F641B">
        <w:rPr>
          <w:u w:val="single"/>
        </w:rPr>
        <w:t>strictly necessary</w:t>
      </w:r>
      <w:r w:rsidR="007062C0" w:rsidRPr="003F641B">
        <w:t xml:space="preserve"> in a democratic society</w:t>
      </w:r>
      <w:r w:rsidR="009A18B7" w:rsidRPr="003F641B">
        <w:t xml:space="preserve"> to refuse access where it </w:t>
      </w:r>
      <w:r w:rsidR="009A18B7" w:rsidRPr="003F641B">
        <w:rPr>
          <w:u w:val="single"/>
        </w:rPr>
        <w:t xml:space="preserve">would </w:t>
      </w:r>
      <w:r w:rsidR="00275521" w:rsidRPr="003F641B">
        <w:rPr>
          <w:u w:val="single"/>
        </w:rPr>
        <w:t>harm</w:t>
      </w:r>
      <w:r w:rsidR="00275521" w:rsidRPr="003F641B">
        <w:t xml:space="preserve"> ‘</w:t>
      </w:r>
      <w:r w:rsidR="009A18B7" w:rsidRPr="003F641B">
        <w:t>patents, copyrights and trade secrets</w:t>
      </w:r>
      <w:r w:rsidR="00275521" w:rsidRPr="003F641B">
        <w:t>’</w:t>
      </w:r>
      <w:r w:rsidR="009A18B7" w:rsidRPr="003F641B">
        <w:t>.</w:t>
      </w:r>
      <w:r w:rsidR="00480729" w:rsidRPr="003F641B">
        <w:rPr>
          <w:rStyle w:val="FootnoteReference"/>
        </w:rPr>
        <w:footnoteReference w:id="9"/>
      </w:r>
      <w:r w:rsidR="0070545E" w:rsidRPr="003F641B">
        <w:t xml:space="preserve"> </w:t>
      </w:r>
    </w:p>
    <w:p w14:paraId="5AD36DD0" w14:textId="77777777" w:rsidR="001034FD" w:rsidRPr="003F641B" w:rsidRDefault="001034FD" w:rsidP="00D30FEF"/>
    <w:p w14:paraId="6729ABD4" w14:textId="2F44BF5B" w:rsidR="0070545E" w:rsidRPr="003F641B" w:rsidRDefault="0070545E" w:rsidP="00D30FEF">
      <w:r w:rsidRPr="003F641B">
        <w:t xml:space="preserve">The </w:t>
      </w:r>
      <w:r w:rsidR="00D8658B" w:rsidRPr="003F641B">
        <w:t>Council of Europe Convention on Access to Official Documents (Troms</w:t>
      </w:r>
      <w:r w:rsidR="00DD4814" w:rsidRPr="003F641B">
        <w:t xml:space="preserve">ø </w:t>
      </w:r>
      <w:r w:rsidR="00D8658B" w:rsidRPr="003F641B">
        <w:t>2009</w:t>
      </w:r>
      <w:r w:rsidR="00DD4814" w:rsidRPr="003F641B">
        <w:t>, entry into force 1 December 2020</w:t>
      </w:r>
      <w:r w:rsidR="00D8658B" w:rsidRPr="003F641B">
        <w:t>)</w:t>
      </w:r>
      <w:r w:rsidR="00877A92" w:rsidRPr="003F641B">
        <w:rPr>
          <w:vertAlign w:val="superscript"/>
        </w:rPr>
        <w:footnoteReference w:id="10"/>
      </w:r>
      <w:r w:rsidR="00D8658B" w:rsidRPr="003F641B">
        <w:rPr>
          <w:rFonts w:ascii="Arial" w:hAnsi="Arial" w:cs="Arial"/>
        </w:rPr>
        <w:t xml:space="preserve"> </w:t>
      </w:r>
      <w:r w:rsidR="00D6746E" w:rsidRPr="003F641B">
        <w:t xml:space="preserve">names in its list of </w:t>
      </w:r>
      <w:r w:rsidR="00D86DC5" w:rsidRPr="003F641B">
        <w:t>allowed</w:t>
      </w:r>
      <w:r w:rsidR="00D6746E" w:rsidRPr="003F641B">
        <w:t xml:space="preserve"> </w:t>
      </w:r>
      <w:r w:rsidR="00CF27D7" w:rsidRPr="003F641B">
        <w:t xml:space="preserve">limitations the protection of </w:t>
      </w:r>
      <w:r w:rsidR="001034FD" w:rsidRPr="003F641B">
        <w:t>“</w:t>
      </w:r>
      <w:r w:rsidR="00CF27D7" w:rsidRPr="003F641B">
        <w:t>commercial and other economic interests</w:t>
      </w:r>
      <w:r w:rsidR="001034FD" w:rsidRPr="003F641B">
        <w:t>”</w:t>
      </w:r>
      <w:r w:rsidR="00D8658B" w:rsidRPr="003F641B">
        <w:t xml:space="preserve"> (Art 3</w:t>
      </w:r>
      <w:r w:rsidR="008748B0" w:rsidRPr="003F641B">
        <w:t xml:space="preserve"> Tromsø Convention</w:t>
      </w:r>
      <w:r w:rsidR="00D8658B" w:rsidRPr="003F641B">
        <w:t>)</w:t>
      </w:r>
      <w:r w:rsidR="00E17FD0" w:rsidRPr="003F641B">
        <w:t xml:space="preserve">. </w:t>
      </w:r>
      <w:r w:rsidR="00E90412" w:rsidRPr="003F641B">
        <w:t>A</w:t>
      </w:r>
      <w:r w:rsidR="00D86DC5" w:rsidRPr="003F641B">
        <w:t>ccording to the Explanatory report</w:t>
      </w:r>
      <w:r w:rsidR="00F31457" w:rsidRPr="003F641B">
        <w:t xml:space="preserve"> the main purpose of this exception is to </w:t>
      </w:r>
      <w:r w:rsidR="00E90412" w:rsidRPr="003F641B">
        <w:t xml:space="preserve">prevent unfair competition or harm to (collective) </w:t>
      </w:r>
      <w:r w:rsidR="00F31457" w:rsidRPr="003F641B">
        <w:t>negotiating positions</w:t>
      </w:r>
      <w:r w:rsidR="00D3447A" w:rsidRPr="003F641B">
        <w:t>; intellectual property is not mentioned</w:t>
      </w:r>
      <w:r w:rsidR="00F31457" w:rsidRPr="003F641B">
        <w:t>.</w:t>
      </w:r>
      <w:r w:rsidR="00F708B1" w:rsidRPr="003F641B">
        <w:rPr>
          <w:rStyle w:val="FootnoteReference"/>
        </w:rPr>
        <w:footnoteReference w:id="11"/>
      </w:r>
      <w:r w:rsidR="00D86DC5" w:rsidRPr="003F641B">
        <w:t xml:space="preserve"> </w:t>
      </w:r>
      <w:r w:rsidR="007F6D44" w:rsidRPr="003F641B">
        <w:t xml:space="preserve">Arguably, </w:t>
      </w:r>
      <w:r w:rsidR="0072598F" w:rsidRPr="003F641B">
        <w:t xml:space="preserve">the protection of especially </w:t>
      </w:r>
      <w:r w:rsidR="004D2D44" w:rsidRPr="003F641B">
        <w:t>third-party</w:t>
      </w:r>
      <w:r w:rsidR="0072598F" w:rsidRPr="003F641B">
        <w:t xml:space="preserve"> copyright</w:t>
      </w:r>
      <w:r w:rsidR="00371070" w:rsidRPr="003F641B">
        <w:t xml:space="preserve"> qualifies as an economic interest to be protected. This is not to say</w:t>
      </w:r>
      <w:r w:rsidR="009A3433" w:rsidRPr="003F641B">
        <w:t xml:space="preserve"> that the existence of copyright in a document necessarily justifies a refusal to grant access. In the terminology of Art</w:t>
      </w:r>
      <w:r w:rsidR="00110275" w:rsidRPr="003F641B">
        <w:t>icle 3</w:t>
      </w:r>
      <w:r w:rsidR="00C634E5" w:rsidRPr="003F641B">
        <w:t>(2)</w:t>
      </w:r>
      <w:r w:rsidR="00110275" w:rsidRPr="003F641B">
        <w:t xml:space="preserve"> Tromsø Convention, </w:t>
      </w:r>
      <w:r w:rsidR="00C634E5" w:rsidRPr="003F641B">
        <w:t xml:space="preserve">access </w:t>
      </w:r>
      <w:r w:rsidR="001034FD" w:rsidRPr="003F641B">
        <w:t>“</w:t>
      </w:r>
      <w:r w:rsidR="00C634E5" w:rsidRPr="003F641B">
        <w:t>may be refused if its disclosure would or would be likely to harm any of the interests mentioned in paragraph 1, unless there is an overriding public interest in disclosure.</w:t>
      </w:r>
      <w:r w:rsidR="001034FD" w:rsidRPr="003F641B">
        <w:t>”</w:t>
      </w:r>
      <w:r w:rsidR="00C634E5" w:rsidRPr="003F641B">
        <w:t xml:space="preserve"> Also, </w:t>
      </w:r>
      <w:r w:rsidR="008F1C39" w:rsidRPr="003F641B">
        <w:t>all l</w:t>
      </w:r>
      <w:r w:rsidR="00D30FEF" w:rsidRPr="003F641B">
        <w:t xml:space="preserve">imitations </w:t>
      </w:r>
      <w:r w:rsidR="008F1C39" w:rsidRPr="003F641B">
        <w:t xml:space="preserve">should be </w:t>
      </w:r>
      <w:r w:rsidR="001034FD" w:rsidRPr="003F641B">
        <w:t>“</w:t>
      </w:r>
      <w:r w:rsidR="00D30FEF" w:rsidRPr="003F641B">
        <w:t>set down</w:t>
      </w:r>
      <w:r w:rsidR="008F1C39" w:rsidRPr="003F641B">
        <w:t xml:space="preserve"> </w:t>
      </w:r>
      <w:r w:rsidR="00D30FEF" w:rsidRPr="003F641B">
        <w:t>precisely in law, be necessary in a democratic society and be proportionate</w:t>
      </w:r>
      <w:r w:rsidR="008F1C39" w:rsidRPr="003F641B">
        <w:t xml:space="preserve"> [to the legitimate aim</w:t>
      </w:r>
      <w:r w:rsidR="0058629C" w:rsidRPr="003F641B">
        <w:t>]</w:t>
      </w:r>
      <w:r w:rsidR="001034FD" w:rsidRPr="003F641B">
        <w:t>”</w:t>
      </w:r>
      <w:r w:rsidR="0058629C" w:rsidRPr="003F641B">
        <w:t xml:space="preserve"> (Art 3(1) Tromsø Convention).</w:t>
      </w:r>
    </w:p>
    <w:p w14:paraId="75EC9657" w14:textId="77777777" w:rsidR="0058629C" w:rsidRPr="003F641B" w:rsidRDefault="0058629C" w:rsidP="00D30FEF"/>
    <w:p w14:paraId="347B48B9" w14:textId="2E04AEF6" w:rsidR="00126C9B" w:rsidRPr="003F641B" w:rsidRDefault="000A403E" w:rsidP="003F2272">
      <w:r w:rsidRPr="003F641B">
        <w:t>As will be discussed below, international</w:t>
      </w:r>
      <w:r w:rsidR="00A36160" w:rsidRPr="003F641B">
        <w:t xml:space="preserve"> copyright</w:t>
      </w:r>
      <w:r w:rsidRPr="003F641B">
        <w:t xml:space="preserve"> treaties offer little guidance for dealing with the relationship between copyright and public access.</w:t>
      </w:r>
    </w:p>
    <w:p w14:paraId="325D7309" w14:textId="62C54327" w:rsidR="007E5556" w:rsidRPr="003F641B" w:rsidRDefault="007E5556" w:rsidP="007E5556"/>
    <w:p w14:paraId="74023145" w14:textId="13290D92" w:rsidR="005339EE" w:rsidRPr="003F641B" w:rsidRDefault="005339EE" w:rsidP="007E5556"/>
    <w:p w14:paraId="771046B6" w14:textId="26133910" w:rsidR="00AB34E1" w:rsidRPr="003F641B" w:rsidRDefault="00AB34E1" w:rsidP="00D84081">
      <w:pPr>
        <w:pStyle w:val="Heading1"/>
      </w:pPr>
      <w:r w:rsidRPr="003F641B">
        <w:t>The rise of re-use</w:t>
      </w:r>
      <w:r w:rsidR="00D84081" w:rsidRPr="003F641B">
        <w:t xml:space="preserve"> laws</w:t>
      </w:r>
      <w:r w:rsidR="00425592" w:rsidRPr="003F641B">
        <w:t xml:space="preserve"> and the idea </w:t>
      </w:r>
      <w:r w:rsidR="002744AE" w:rsidRPr="003F641B">
        <w:t>of open data</w:t>
      </w:r>
    </w:p>
    <w:p w14:paraId="2F292000" w14:textId="77777777" w:rsidR="00D84081" w:rsidRPr="003F641B" w:rsidRDefault="00D84081" w:rsidP="007E5556"/>
    <w:p w14:paraId="7558DB75" w14:textId="4FAB10FE" w:rsidR="00045B28" w:rsidRPr="003F641B" w:rsidRDefault="00BC3CD2" w:rsidP="007E5556">
      <w:r w:rsidRPr="003F641B">
        <w:t>Th</w:t>
      </w:r>
      <w:r w:rsidR="00CB4C70" w:rsidRPr="003F641B">
        <w:t xml:space="preserve">at </w:t>
      </w:r>
      <w:r w:rsidRPr="003F641B">
        <w:t>information</w:t>
      </w:r>
      <w:r w:rsidR="00170181" w:rsidRPr="003F641B">
        <w:t xml:space="preserve"> or data held by public sector bodies</w:t>
      </w:r>
      <w:r w:rsidR="00CB4C70" w:rsidRPr="003F641B">
        <w:t xml:space="preserve"> can be accessed under a growing body of</w:t>
      </w:r>
      <w:r w:rsidR="009B0411" w:rsidRPr="003F641B">
        <w:t xml:space="preserve"> freedom of information or right to information laws</w:t>
      </w:r>
      <w:r w:rsidR="00170181" w:rsidRPr="003F641B">
        <w:t xml:space="preserve">, does not </w:t>
      </w:r>
      <w:r w:rsidR="00AF57AC" w:rsidRPr="003F641B">
        <w:t>mean</w:t>
      </w:r>
      <w:r w:rsidR="009B0411" w:rsidRPr="003F641B">
        <w:t xml:space="preserve"> that the information obtained can be used </w:t>
      </w:r>
      <w:r w:rsidR="009C2453" w:rsidRPr="003F641B">
        <w:t xml:space="preserve">freely. This is where it is important to note a second trend, namely the rise of </w:t>
      </w:r>
      <w:r w:rsidR="006A3D4A" w:rsidRPr="003F641B">
        <w:t>laws that allow (unfettered) re-use of public sector information for non-commercial and commercial purposes.</w:t>
      </w:r>
      <w:r w:rsidR="00440313" w:rsidRPr="003F641B">
        <w:t xml:space="preserve"> This development too can be situated in a wider global phenomenon</w:t>
      </w:r>
      <w:r w:rsidR="00D65A01" w:rsidRPr="003F641B">
        <w:t xml:space="preserve"> of so-called ‘open government’</w:t>
      </w:r>
      <w:r w:rsidR="00440313" w:rsidRPr="003F641B">
        <w:t>.</w:t>
      </w:r>
      <w:r w:rsidR="00AF57AC" w:rsidRPr="003F641B">
        <w:t xml:space="preserve"> </w:t>
      </w:r>
    </w:p>
    <w:p w14:paraId="28FA43ED" w14:textId="4A9F9308" w:rsidR="005339EE" w:rsidRPr="003F641B" w:rsidRDefault="005339EE" w:rsidP="007E5556"/>
    <w:p w14:paraId="111EFFB0" w14:textId="7D71CDA8" w:rsidR="00A75FE1" w:rsidRPr="003F641B" w:rsidRDefault="0061530C" w:rsidP="007E5556">
      <w:pPr>
        <w:rPr>
          <w:b/>
          <w:bCs/>
        </w:rPr>
      </w:pPr>
      <w:r w:rsidRPr="003F641B">
        <w:rPr>
          <w:b/>
          <w:bCs/>
        </w:rPr>
        <w:t>3</w:t>
      </w:r>
      <w:r w:rsidR="00E52571" w:rsidRPr="003F641B">
        <w:rPr>
          <w:b/>
          <w:bCs/>
        </w:rPr>
        <w:t>.</w:t>
      </w:r>
      <w:r w:rsidRPr="003F641B">
        <w:rPr>
          <w:b/>
          <w:bCs/>
        </w:rPr>
        <w:t>1</w:t>
      </w:r>
      <w:r w:rsidR="00E52571" w:rsidRPr="003F641B">
        <w:rPr>
          <w:b/>
          <w:bCs/>
        </w:rPr>
        <w:t xml:space="preserve"> </w:t>
      </w:r>
      <w:r w:rsidR="00A75FE1" w:rsidRPr="003F641B">
        <w:rPr>
          <w:b/>
          <w:bCs/>
        </w:rPr>
        <w:t xml:space="preserve">The global Open </w:t>
      </w:r>
      <w:r w:rsidR="00E52571" w:rsidRPr="003F641B">
        <w:rPr>
          <w:b/>
          <w:bCs/>
        </w:rPr>
        <w:t>G</w:t>
      </w:r>
      <w:r w:rsidR="00A75FE1" w:rsidRPr="003F641B">
        <w:rPr>
          <w:b/>
          <w:bCs/>
        </w:rPr>
        <w:t xml:space="preserve">overnment </w:t>
      </w:r>
      <w:r w:rsidR="00E52571" w:rsidRPr="003F641B">
        <w:rPr>
          <w:b/>
          <w:bCs/>
        </w:rPr>
        <w:t>P</w:t>
      </w:r>
      <w:r w:rsidR="00A75FE1" w:rsidRPr="003F641B">
        <w:rPr>
          <w:b/>
          <w:bCs/>
        </w:rPr>
        <w:t>artnership</w:t>
      </w:r>
    </w:p>
    <w:p w14:paraId="75C60FD1" w14:textId="77777777" w:rsidR="005C36E5" w:rsidRDefault="005C36E5" w:rsidP="003F2272"/>
    <w:p w14:paraId="1977F5FB" w14:textId="72F32B03" w:rsidR="00F5210A" w:rsidRPr="003F641B" w:rsidRDefault="00537ACD" w:rsidP="003F2272">
      <w:r w:rsidRPr="003F641B">
        <w:t xml:space="preserve">Seeing access to information as a vital tool to help realize good governance is not just a matter that is important at the national level. There is an increase in global cooperation. </w:t>
      </w:r>
      <w:r w:rsidR="003B681C" w:rsidRPr="003F641B">
        <w:t>T</w:t>
      </w:r>
      <w:r w:rsidRPr="003F641B">
        <w:t xml:space="preserve">he </w:t>
      </w:r>
      <w:r w:rsidR="003B681C" w:rsidRPr="003F641B">
        <w:t>rise of the g</w:t>
      </w:r>
      <w:r w:rsidR="005339EE" w:rsidRPr="003F641B">
        <w:t>lobal Open Government Partnership (OGP)</w:t>
      </w:r>
      <w:r w:rsidRPr="003F641B">
        <w:t xml:space="preserve"> </w:t>
      </w:r>
      <w:r w:rsidR="003B681C" w:rsidRPr="003F641B">
        <w:t>is a</w:t>
      </w:r>
      <w:r w:rsidR="00E52571" w:rsidRPr="003F641B">
        <w:t xml:space="preserve"> key example. OGP </w:t>
      </w:r>
      <w:r w:rsidRPr="003F641B">
        <w:t xml:space="preserve">was </w:t>
      </w:r>
      <w:r w:rsidR="00A914B4" w:rsidRPr="003F641B">
        <w:t xml:space="preserve">initiated in </w:t>
      </w:r>
      <w:r w:rsidR="00150E61" w:rsidRPr="003F641B">
        <w:t>2011</w:t>
      </w:r>
      <w:r w:rsidR="00670686" w:rsidRPr="003F641B">
        <w:t xml:space="preserve"> and has since grown</w:t>
      </w:r>
      <w:r w:rsidR="004F05A0" w:rsidRPr="003F641B">
        <w:t xml:space="preserve"> steadily</w:t>
      </w:r>
      <w:r w:rsidRPr="003F641B">
        <w:t>. It</w:t>
      </w:r>
      <w:r w:rsidR="005339EE" w:rsidRPr="003F641B">
        <w:t xml:space="preserve"> promotes transparent, participatory, </w:t>
      </w:r>
      <w:r w:rsidR="00BD1235" w:rsidRPr="003F641B">
        <w:t>inclusive,</w:t>
      </w:r>
      <w:r w:rsidR="005339EE" w:rsidRPr="003F641B">
        <w:t xml:space="preserve"> and accountable governance</w:t>
      </w:r>
      <w:r w:rsidRPr="003F641B">
        <w:t xml:space="preserve"> through a number of actions and commitments. </w:t>
      </w:r>
      <w:r w:rsidR="00502D62" w:rsidRPr="003F641B">
        <w:t>By 2021, m</w:t>
      </w:r>
      <w:r w:rsidRPr="003F641B">
        <w:t xml:space="preserve">ore than seventy </w:t>
      </w:r>
      <w:r w:rsidR="005339EE" w:rsidRPr="003F641B">
        <w:t>states</w:t>
      </w:r>
      <w:r w:rsidRPr="003F641B">
        <w:t xml:space="preserve"> have </w:t>
      </w:r>
      <w:r w:rsidR="00710B72" w:rsidRPr="003F641B">
        <w:t xml:space="preserve">made concrete </w:t>
      </w:r>
      <w:r w:rsidRPr="003F641B">
        <w:t>pledge</w:t>
      </w:r>
      <w:r w:rsidR="00710B72" w:rsidRPr="003F641B">
        <w:t xml:space="preserve">s to improve </w:t>
      </w:r>
      <w:r w:rsidR="006B1410" w:rsidRPr="003F641B">
        <w:t>transparency</w:t>
      </w:r>
      <w:r w:rsidR="00710B72" w:rsidRPr="003F641B">
        <w:t xml:space="preserve"> and accountability, as </w:t>
      </w:r>
      <w:r w:rsidR="00710B72" w:rsidRPr="003F641B">
        <w:lastRenderedPageBreak/>
        <w:t>have</w:t>
      </w:r>
      <w:r w:rsidR="00203796" w:rsidRPr="003F641B">
        <w:t xml:space="preserve"> more than seventy </w:t>
      </w:r>
      <w:r w:rsidR="005339EE" w:rsidRPr="003F641B">
        <w:t>local governments</w:t>
      </w:r>
      <w:r w:rsidR="00203796" w:rsidRPr="003F641B">
        <w:t>. What is special about the OGP is that it also involve</w:t>
      </w:r>
      <w:r w:rsidR="007301A3" w:rsidRPr="003F641B">
        <w:t>s</w:t>
      </w:r>
      <w:r w:rsidR="00203796" w:rsidRPr="003F641B">
        <w:t xml:space="preserve"> all manner of civil society organizations</w:t>
      </w:r>
      <w:r w:rsidR="00446BD7" w:rsidRPr="003F641B">
        <w:t xml:space="preserve"> that co-create</w:t>
      </w:r>
      <w:r w:rsidR="00EE2F09" w:rsidRPr="003F641B">
        <w:t xml:space="preserve"> plans with governments</w:t>
      </w:r>
      <w:r w:rsidR="005339EE" w:rsidRPr="003F641B">
        <w:t>.</w:t>
      </w:r>
      <w:r w:rsidR="00D12239" w:rsidRPr="003F641B">
        <w:t xml:space="preserve"> </w:t>
      </w:r>
      <w:r w:rsidR="00F5210A" w:rsidRPr="003F641B">
        <w:t>International organizations like the Organisation for Economic Cooperation and Development (OECD)</w:t>
      </w:r>
      <w:r w:rsidR="00356F1C" w:rsidRPr="003F641B">
        <w:t>, Organization of American States (OAS</w:t>
      </w:r>
      <w:r w:rsidR="004D2D44" w:rsidRPr="003F641B">
        <w:t>), and</w:t>
      </w:r>
      <w:r w:rsidR="00F5210A" w:rsidRPr="003F641B">
        <w:t xml:space="preserve"> United Nations Development Programme (UNDP)</w:t>
      </w:r>
      <w:r w:rsidR="00752AB2" w:rsidRPr="003F641B">
        <w:t xml:space="preserve"> also endorse</w:t>
      </w:r>
      <w:r w:rsidR="005D32D1" w:rsidRPr="003F641B">
        <w:t xml:space="preserve"> and support OGP members and actions.</w:t>
      </w:r>
    </w:p>
    <w:p w14:paraId="5096B876" w14:textId="77777777" w:rsidR="00F5210A" w:rsidRPr="003F641B" w:rsidRDefault="00F5210A" w:rsidP="003F2272"/>
    <w:p w14:paraId="262D327A" w14:textId="706F3604" w:rsidR="0082220F" w:rsidRPr="003F641B" w:rsidRDefault="00A72934" w:rsidP="003F2272">
      <w:r w:rsidRPr="003F641B">
        <w:t xml:space="preserve">Several </w:t>
      </w:r>
      <w:r w:rsidR="005A26DE" w:rsidRPr="003F641B">
        <w:t xml:space="preserve">ambitions of </w:t>
      </w:r>
      <w:r w:rsidRPr="003F641B">
        <w:t xml:space="preserve">the open government partnership are </w:t>
      </w:r>
      <w:r w:rsidR="001034FD" w:rsidRPr="003F641B">
        <w:t xml:space="preserve">especially </w:t>
      </w:r>
      <w:r w:rsidRPr="003F641B">
        <w:t>relevant from an intellectual property perspective</w:t>
      </w:r>
      <w:r w:rsidR="001034FD" w:rsidRPr="003F641B">
        <w:t>. This is true of the ambition t</w:t>
      </w:r>
      <w:r w:rsidR="00B64B05" w:rsidRPr="003F641B">
        <w:t>o i</w:t>
      </w:r>
      <w:r w:rsidR="005339EE" w:rsidRPr="003F641B">
        <w:t>ncrease access to information on governmental activities</w:t>
      </w:r>
      <w:r w:rsidR="00B64B05" w:rsidRPr="003F641B">
        <w:t xml:space="preserve">, and to </w:t>
      </w:r>
      <w:r w:rsidR="001034FD" w:rsidRPr="003F641B">
        <w:t xml:space="preserve">ensure </w:t>
      </w:r>
      <w:r w:rsidR="00DE7C47" w:rsidRPr="003F641B">
        <w:t>public sector</w:t>
      </w:r>
      <w:r w:rsidR="001034FD" w:rsidRPr="003F641B">
        <w:t xml:space="preserve"> bodies work to</w:t>
      </w:r>
      <w:r w:rsidR="00DE7C47" w:rsidRPr="003F641B">
        <w:t xml:space="preserve"> p</w:t>
      </w:r>
      <w:r w:rsidR="005339EE" w:rsidRPr="003F641B">
        <w:t xml:space="preserve">ro-actively provide </w:t>
      </w:r>
      <w:r w:rsidR="001034FD" w:rsidRPr="003F641B">
        <w:t>access to so-called ‘</w:t>
      </w:r>
      <w:r w:rsidR="005339EE" w:rsidRPr="003F641B">
        <w:t>high-value information</w:t>
      </w:r>
      <w:r w:rsidR="001034FD" w:rsidRPr="003F641B">
        <w:t xml:space="preserve">’, i.e., information that is an important resource for </w:t>
      </w:r>
      <w:r w:rsidR="00497262" w:rsidRPr="003F641B">
        <w:t xml:space="preserve">many different types of users (companies, civil society, citizens) and has the potential to </w:t>
      </w:r>
      <w:r w:rsidR="00832790" w:rsidRPr="003F641B">
        <w:rPr>
          <w:rStyle w:val="hgkelc"/>
        </w:rPr>
        <w:t xml:space="preserve">generate </w:t>
      </w:r>
      <w:r w:rsidR="00C72001" w:rsidRPr="003F641B">
        <w:rPr>
          <w:rStyle w:val="hgkelc"/>
        </w:rPr>
        <w:t xml:space="preserve">important </w:t>
      </w:r>
      <w:r w:rsidR="009305DF" w:rsidRPr="003F641B">
        <w:rPr>
          <w:rStyle w:val="hgkelc"/>
        </w:rPr>
        <w:t xml:space="preserve">societal </w:t>
      </w:r>
      <w:r w:rsidR="00832790" w:rsidRPr="003F641B">
        <w:rPr>
          <w:rStyle w:val="hgkelc"/>
        </w:rPr>
        <w:t>benefits</w:t>
      </w:r>
      <w:r w:rsidR="00E02369" w:rsidRPr="003F641B">
        <w:rPr>
          <w:rStyle w:val="hgkelc"/>
        </w:rPr>
        <w:t>.</w:t>
      </w:r>
      <w:r w:rsidR="00DE7C47" w:rsidRPr="003F641B">
        <w:t xml:space="preserve"> </w:t>
      </w:r>
      <w:r w:rsidR="00511C60">
        <w:t>This includes</w:t>
      </w:r>
      <w:r w:rsidR="00155476">
        <w:t xml:space="preserve"> laws and regulations, core </w:t>
      </w:r>
      <w:r w:rsidR="007C7167">
        <w:t xml:space="preserve">country </w:t>
      </w:r>
      <w:r w:rsidR="00155476">
        <w:t>statistics, digital maps, electoral data, company register data, environmental emission</w:t>
      </w:r>
      <w:r w:rsidR="007C7167">
        <w:t xml:space="preserve"> data, meteorological data, </w:t>
      </w:r>
      <w:r w:rsidR="00155476">
        <w:t xml:space="preserve">etc. </w:t>
      </w:r>
      <w:r w:rsidR="001034FD" w:rsidRPr="003F641B">
        <w:t>A</w:t>
      </w:r>
      <w:r w:rsidR="00E02369" w:rsidRPr="003F641B">
        <w:t xml:space="preserve">nother IP relevant </w:t>
      </w:r>
      <w:r w:rsidR="00A54781" w:rsidRPr="003F641B">
        <w:t>aspect</w:t>
      </w:r>
      <w:r w:rsidR="00E02369" w:rsidRPr="003F641B">
        <w:t xml:space="preserve"> of the open government partnership</w:t>
      </w:r>
      <w:r w:rsidR="00A54781" w:rsidRPr="003F641B">
        <w:t xml:space="preserve"> is that it recognizes t</w:t>
      </w:r>
      <w:r w:rsidR="00C16A26" w:rsidRPr="003F641B">
        <w:t xml:space="preserve">he </w:t>
      </w:r>
      <w:r w:rsidR="00C77FF9" w:rsidRPr="003F641B">
        <w:t xml:space="preserve">importance </w:t>
      </w:r>
      <w:r w:rsidR="00C16A26" w:rsidRPr="003F641B">
        <w:t>of open standards</w:t>
      </w:r>
      <w:r w:rsidR="004166E2" w:rsidRPr="003F641B">
        <w:t>. Ensuring</w:t>
      </w:r>
      <w:r w:rsidR="00C77FF9" w:rsidRPr="003F641B">
        <w:t xml:space="preserve"> information </w:t>
      </w:r>
      <w:r w:rsidR="004166E2" w:rsidRPr="003F641B">
        <w:t xml:space="preserve">is </w:t>
      </w:r>
      <w:r w:rsidR="00C77FF9" w:rsidRPr="003F641B">
        <w:t>avai</w:t>
      </w:r>
      <w:r w:rsidR="004166E2" w:rsidRPr="003F641B">
        <w:t>lable</w:t>
      </w:r>
      <w:r w:rsidR="00C77FF9" w:rsidRPr="003F641B">
        <w:t xml:space="preserve"> in open formats (</w:t>
      </w:r>
      <w:r w:rsidR="004D2D44" w:rsidRPr="003F641B">
        <w:t>i.e.,</w:t>
      </w:r>
      <w:r w:rsidR="00B94090" w:rsidRPr="003F641B">
        <w:t xml:space="preserve"> </w:t>
      </w:r>
      <w:r w:rsidR="00C77FF9" w:rsidRPr="003F641B">
        <w:t>no particular proprietary software is needed</w:t>
      </w:r>
      <w:r w:rsidR="00B94090" w:rsidRPr="003F641B">
        <w:t xml:space="preserve"> to access, read or use the information) </w:t>
      </w:r>
      <w:r w:rsidR="0082220F" w:rsidRPr="003F641B">
        <w:t>makes the information more accessible and easier t</w:t>
      </w:r>
      <w:r w:rsidR="00240912" w:rsidRPr="003F641B">
        <w:t>o</w:t>
      </w:r>
      <w:r w:rsidR="0082220F" w:rsidRPr="003F641B">
        <w:t xml:space="preserve"> work with.</w:t>
      </w:r>
    </w:p>
    <w:p w14:paraId="763E0996" w14:textId="77777777" w:rsidR="002E4DCC" w:rsidRPr="003F641B" w:rsidRDefault="002E4DCC" w:rsidP="003F2272"/>
    <w:p w14:paraId="16CE5269" w14:textId="799BA98A" w:rsidR="002E4DCC" w:rsidRPr="003F641B" w:rsidRDefault="00345823" w:rsidP="003F2272">
      <w:r w:rsidRPr="003F641B">
        <w:t xml:space="preserve">The Open Government Partnership is </w:t>
      </w:r>
      <w:r w:rsidR="001D0B82" w:rsidRPr="003F641B">
        <w:t xml:space="preserve">special in that it is an independent </w:t>
      </w:r>
      <w:r w:rsidR="004B3A6A" w:rsidRPr="003F641B">
        <w:t>type of international</w:t>
      </w:r>
      <w:r w:rsidR="00DE467A" w:rsidRPr="003F641B">
        <w:t>, flexible</w:t>
      </w:r>
      <w:r w:rsidR="004B3A6A" w:rsidRPr="003F641B">
        <w:t xml:space="preserve"> </w:t>
      </w:r>
      <w:r w:rsidR="00445FF6" w:rsidRPr="003F641B">
        <w:t xml:space="preserve">forum </w:t>
      </w:r>
      <w:r w:rsidR="00083AC6" w:rsidRPr="003F641B">
        <w:t xml:space="preserve">outside of the major </w:t>
      </w:r>
      <w:r w:rsidR="007E1EE3" w:rsidRPr="003F641B">
        <w:t xml:space="preserve">existing </w:t>
      </w:r>
      <w:r w:rsidR="00DE467A" w:rsidRPr="003F641B">
        <w:t>international organizations</w:t>
      </w:r>
      <w:r w:rsidR="00083AC6" w:rsidRPr="003F641B">
        <w:t xml:space="preserve">. </w:t>
      </w:r>
      <w:r w:rsidR="00F5373E" w:rsidRPr="003F641B">
        <w:t>But these too</w:t>
      </w:r>
      <w:r w:rsidR="0021314D" w:rsidRPr="003F641B">
        <w:t xml:space="preserve"> recognize the importance of a</w:t>
      </w:r>
      <w:r w:rsidR="002E4DCC" w:rsidRPr="003F641B">
        <w:t>ccess to information</w:t>
      </w:r>
      <w:r w:rsidR="0021314D" w:rsidRPr="003F641B">
        <w:t xml:space="preserve"> for citizens</w:t>
      </w:r>
      <w:r w:rsidR="00927936" w:rsidRPr="003F641B">
        <w:t xml:space="preserve">. </w:t>
      </w:r>
      <w:r w:rsidR="00613914" w:rsidRPr="003F641B">
        <w:t xml:space="preserve">Access to information is now also seen as a necessary tool to achieve the UN’s sustainable development goals. </w:t>
      </w:r>
      <w:r w:rsidR="002E4DCC" w:rsidRPr="003F641B">
        <w:t xml:space="preserve">UNESCO </w:t>
      </w:r>
      <w:r w:rsidR="00927936" w:rsidRPr="003F641B">
        <w:t xml:space="preserve">initiated </w:t>
      </w:r>
      <w:r w:rsidR="006433A3" w:rsidRPr="003F641B">
        <w:t xml:space="preserve">the first </w:t>
      </w:r>
      <w:r w:rsidR="00C81309" w:rsidRPr="003F641B">
        <w:t xml:space="preserve">annual </w:t>
      </w:r>
      <w:r w:rsidR="001F3940" w:rsidRPr="003F641B">
        <w:t>I</w:t>
      </w:r>
      <w:r w:rsidR="00927936" w:rsidRPr="003F641B">
        <w:t>nternational</w:t>
      </w:r>
      <w:r w:rsidR="001F3940" w:rsidRPr="003F641B">
        <w:t xml:space="preserve"> Day for Universal Access to Information</w:t>
      </w:r>
      <w:r w:rsidR="00752C02" w:rsidRPr="003F641B">
        <w:rPr>
          <w:rStyle w:val="FootnoteReference"/>
        </w:rPr>
        <w:footnoteReference w:id="12"/>
      </w:r>
      <w:r w:rsidR="00C81309" w:rsidRPr="003F641B">
        <w:t xml:space="preserve"> (first one 28 September 2016</w:t>
      </w:r>
      <w:r w:rsidR="00F00638" w:rsidRPr="003F641B">
        <w:t>, since then also adopted by the UN General Assembly</w:t>
      </w:r>
      <w:r w:rsidR="004D2D44" w:rsidRPr="003F641B">
        <w:t>) and</w:t>
      </w:r>
      <w:r w:rsidR="00715C51" w:rsidRPr="003F641B">
        <w:t xml:space="preserve"> is an important global forum for </w:t>
      </w:r>
      <w:r w:rsidR="00AA0649" w:rsidRPr="003F641B">
        <w:t>the development of policy and guidelines in the field</w:t>
      </w:r>
      <w:r w:rsidR="00613914" w:rsidRPr="003F641B">
        <w:t>.</w:t>
      </w:r>
      <w:r w:rsidR="00602506" w:rsidRPr="003F641B">
        <w:t xml:space="preserve"> </w:t>
      </w:r>
    </w:p>
    <w:p w14:paraId="6D6DB741" w14:textId="77777777" w:rsidR="003A4924" w:rsidRPr="003F641B" w:rsidRDefault="003A4924" w:rsidP="00B64B05"/>
    <w:p w14:paraId="55C9A3FC" w14:textId="28F0D9F8" w:rsidR="00321D27" w:rsidRPr="003F641B" w:rsidRDefault="0061530C" w:rsidP="00106E46">
      <w:pPr>
        <w:rPr>
          <w:b/>
          <w:bCs/>
        </w:rPr>
      </w:pPr>
      <w:r w:rsidRPr="003F641B">
        <w:rPr>
          <w:b/>
          <w:bCs/>
        </w:rPr>
        <w:t xml:space="preserve">3.2 </w:t>
      </w:r>
      <w:r w:rsidR="00321D27" w:rsidRPr="003F641B">
        <w:rPr>
          <w:b/>
          <w:bCs/>
        </w:rPr>
        <w:t xml:space="preserve">Open </w:t>
      </w:r>
      <w:r w:rsidR="00FB2C68">
        <w:rPr>
          <w:b/>
          <w:bCs/>
        </w:rPr>
        <w:t xml:space="preserve">(government) </w:t>
      </w:r>
      <w:r w:rsidR="00321D27" w:rsidRPr="003F641B">
        <w:rPr>
          <w:b/>
          <w:bCs/>
        </w:rPr>
        <w:t>data and open licensing</w:t>
      </w:r>
    </w:p>
    <w:p w14:paraId="4AAF8930" w14:textId="77777777" w:rsidR="00321D27" w:rsidRPr="003F641B" w:rsidRDefault="00321D27" w:rsidP="00106E46"/>
    <w:p w14:paraId="4F1711ED" w14:textId="718DA6F4" w:rsidR="00E508C9" w:rsidRPr="003F641B" w:rsidRDefault="00291299" w:rsidP="00106E46">
      <w:r w:rsidRPr="003F641B">
        <w:t xml:space="preserve">Legislation </w:t>
      </w:r>
      <w:r w:rsidR="00BE4463" w:rsidRPr="003F641B">
        <w:t xml:space="preserve">in the field of access and reuse of public sector information is </w:t>
      </w:r>
      <w:r w:rsidR="00CF5330" w:rsidRPr="003F641B">
        <w:t xml:space="preserve">partly </w:t>
      </w:r>
      <w:r w:rsidR="00BE4463" w:rsidRPr="003F641B">
        <w:t>informed by notions that have their origins in</w:t>
      </w:r>
      <w:r w:rsidR="00CF5330" w:rsidRPr="003F641B">
        <w:t xml:space="preserve"> the </w:t>
      </w:r>
      <w:r w:rsidR="005550C5" w:rsidRPr="003F641B">
        <w:t>open-source</w:t>
      </w:r>
      <w:r w:rsidR="00CF5330" w:rsidRPr="003F641B">
        <w:t xml:space="preserve"> software movement and </w:t>
      </w:r>
      <w:r w:rsidR="00F46FB0" w:rsidRPr="003F641B">
        <w:t xml:space="preserve">open culture. </w:t>
      </w:r>
      <w:r w:rsidR="00106E46" w:rsidRPr="003F641B">
        <w:t xml:space="preserve">This is most obvious in the </w:t>
      </w:r>
      <w:r w:rsidR="00591D0C" w:rsidRPr="003F641B">
        <w:t xml:space="preserve">use of open content licensing and the </w:t>
      </w:r>
      <w:r w:rsidR="00F66238" w:rsidRPr="003F641B">
        <w:t>idea of open data.</w:t>
      </w:r>
      <w:r w:rsidR="00C236BC" w:rsidRPr="003F641B">
        <w:t xml:space="preserve"> There is no universal definition</w:t>
      </w:r>
      <w:r w:rsidR="00804898" w:rsidRPr="003F641B">
        <w:t xml:space="preserve"> </w:t>
      </w:r>
      <w:r w:rsidR="00B63973" w:rsidRPr="003F641B">
        <w:t xml:space="preserve">of open data </w:t>
      </w:r>
      <w:r w:rsidR="00804898" w:rsidRPr="003F641B">
        <w:t xml:space="preserve">but a much used one </w:t>
      </w:r>
      <w:r w:rsidR="00B63973" w:rsidRPr="003F641B">
        <w:t>is</w:t>
      </w:r>
      <w:r w:rsidR="009C23BE" w:rsidRPr="003F641B">
        <w:t xml:space="preserve"> by the Open Knowledge Foundation, which takes its inspiration from</w:t>
      </w:r>
      <w:r w:rsidR="006A1A6C" w:rsidRPr="003F641B">
        <w:t xml:space="preserve"> the</w:t>
      </w:r>
      <w:r w:rsidR="009C23BE" w:rsidRPr="003F641B">
        <w:t xml:space="preserve"> </w:t>
      </w:r>
      <w:r w:rsidR="005550C5" w:rsidRPr="003F641B">
        <w:t>open-source</w:t>
      </w:r>
      <w:r w:rsidR="006A1A6C" w:rsidRPr="003F641B">
        <w:t xml:space="preserve"> field</w:t>
      </w:r>
      <w:r w:rsidR="004A0A63" w:rsidRPr="003F641B">
        <w:t xml:space="preserve">. </w:t>
      </w:r>
      <w:r w:rsidR="00FF4DC3" w:rsidRPr="003F641B">
        <w:t xml:space="preserve">Knowledge, </w:t>
      </w:r>
      <w:r w:rsidR="001E6D8A" w:rsidRPr="003F641B">
        <w:t>information,</w:t>
      </w:r>
      <w:r w:rsidR="00FF4DC3" w:rsidRPr="003F641B">
        <w:t xml:space="preserve"> or data </w:t>
      </w:r>
      <w:r w:rsidR="004A0A63" w:rsidRPr="003F641B">
        <w:t xml:space="preserve">is </w:t>
      </w:r>
      <w:r w:rsidR="00FF4DC3" w:rsidRPr="003F641B">
        <w:t>“</w:t>
      </w:r>
      <w:r w:rsidR="004A0A63" w:rsidRPr="003F641B">
        <w:t>open if anyone is free to access, use, modify, and share it — subject, at most, to measures that preserve provenance and openness</w:t>
      </w:r>
      <w:r w:rsidR="009C23BE" w:rsidRPr="003F641B">
        <w:t>.</w:t>
      </w:r>
      <w:r w:rsidR="00FF4DC3" w:rsidRPr="003F641B">
        <w:t>”</w:t>
      </w:r>
      <w:r w:rsidR="00ED3E50" w:rsidRPr="003F641B">
        <w:rPr>
          <w:rStyle w:val="FootnoteReference"/>
        </w:rPr>
        <w:footnoteReference w:id="13"/>
      </w:r>
      <w:r w:rsidR="00D83C67" w:rsidRPr="003F641B">
        <w:t xml:space="preserve"> </w:t>
      </w:r>
      <w:r w:rsidR="00F114CA" w:rsidRPr="003F641B">
        <w:rPr>
          <w:rStyle w:val="normaltextrun"/>
        </w:rPr>
        <w:t>Data are legally open when anyone can freely access, reuse and redistribute the data, without needing permission from owners of copyright or other intellectual property</w:t>
      </w:r>
      <w:r w:rsidR="00ED66B2" w:rsidRPr="003F641B">
        <w:rPr>
          <w:rStyle w:val="normaltextrun"/>
        </w:rPr>
        <w:t>, and without having to pay for the use</w:t>
      </w:r>
      <w:r w:rsidR="00F114CA" w:rsidRPr="003F641B">
        <w:rPr>
          <w:rStyle w:val="normaltextrun"/>
        </w:rPr>
        <w:t>. This is what open licenses like Creative Commons</w:t>
      </w:r>
      <w:r w:rsidR="00D255D3" w:rsidRPr="003F641B">
        <w:rPr>
          <w:rStyle w:val="normaltextrun"/>
        </w:rPr>
        <w:t xml:space="preserve"> (attribution)</w:t>
      </w:r>
      <w:r w:rsidR="005B618D" w:rsidRPr="003F641B">
        <w:rPr>
          <w:rStyle w:val="normaltextrun"/>
        </w:rPr>
        <w:t>, GNU Free Documentation License</w:t>
      </w:r>
      <w:r w:rsidR="00155ADC" w:rsidRPr="003F641B">
        <w:rPr>
          <w:rStyle w:val="normaltextrun"/>
        </w:rPr>
        <w:t xml:space="preserve"> and the Open data commons </w:t>
      </w:r>
      <w:r w:rsidR="00F114CA" w:rsidRPr="003F641B">
        <w:rPr>
          <w:rStyle w:val="normaltextrun"/>
        </w:rPr>
        <w:t xml:space="preserve">seek to </w:t>
      </w:r>
      <w:r w:rsidR="006B1410" w:rsidRPr="003F641B">
        <w:rPr>
          <w:rStyle w:val="normaltextrun"/>
        </w:rPr>
        <w:t>guarantee</w:t>
      </w:r>
      <w:r w:rsidR="00F114CA" w:rsidRPr="003F641B">
        <w:rPr>
          <w:rStyle w:val="normaltextrun"/>
        </w:rPr>
        <w:t xml:space="preserve">. </w:t>
      </w:r>
      <w:r w:rsidR="002B0B44" w:rsidRPr="003F641B">
        <w:rPr>
          <w:rStyle w:val="normaltextrun"/>
        </w:rPr>
        <w:t xml:space="preserve">Of note, to be regarded as open, data must not just be open in a legal sense, but also in a </w:t>
      </w:r>
      <w:r w:rsidR="00F114CA" w:rsidRPr="003F641B">
        <w:rPr>
          <w:rStyle w:val="normaltextrun"/>
        </w:rPr>
        <w:t>technical sense</w:t>
      </w:r>
      <w:r w:rsidR="00151AA2" w:rsidRPr="003F641B">
        <w:rPr>
          <w:rStyle w:val="normaltextrun"/>
        </w:rPr>
        <w:t xml:space="preserve">. Data are open </w:t>
      </w:r>
      <w:r w:rsidR="00F114CA" w:rsidRPr="003F641B">
        <w:rPr>
          <w:rStyle w:val="normaltextrun"/>
        </w:rPr>
        <w:t>when they are machine-</w:t>
      </w:r>
      <w:r w:rsidR="00F114CA" w:rsidRPr="003F641B">
        <w:rPr>
          <w:rStyle w:val="normaltextrun"/>
        </w:rPr>
        <w:lastRenderedPageBreak/>
        <w:t xml:space="preserve">readable and in </w:t>
      </w:r>
      <w:r w:rsidR="00F114CA" w:rsidRPr="003F641B">
        <w:t>open format (</w:t>
      </w:r>
      <w:r w:rsidR="005550C5" w:rsidRPr="003F641B">
        <w:t>i.e.,</w:t>
      </w:r>
      <w:r w:rsidR="00151AA2" w:rsidRPr="003F641B">
        <w:t xml:space="preserve"> the </w:t>
      </w:r>
      <w:r w:rsidR="00C755AA" w:rsidRPr="003F641B">
        <w:t xml:space="preserve">specifications of the file </w:t>
      </w:r>
      <w:r w:rsidR="00151AA2" w:rsidRPr="003F641B">
        <w:t xml:space="preserve">format in which </w:t>
      </w:r>
      <w:r w:rsidR="0086377C" w:rsidRPr="003F641B">
        <w:t>the data is made available</w:t>
      </w:r>
      <w:r w:rsidR="00E7256F" w:rsidRPr="003F641B">
        <w:t xml:space="preserve"> </w:t>
      </w:r>
      <w:r w:rsidR="00C755AA" w:rsidRPr="003F641B">
        <w:t>are openly available</w:t>
      </w:r>
      <w:r w:rsidR="00AA09D7" w:rsidRPr="003F641B">
        <w:t xml:space="preserve"> and anyone can use the file format</w:t>
      </w:r>
      <w:r w:rsidR="00147FB0" w:rsidRPr="003F641B">
        <w:t xml:space="preserve"> without having to rely on</w:t>
      </w:r>
      <w:r w:rsidR="002D4758" w:rsidRPr="003F641B">
        <w:t xml:space="preserve"> proprietary software</w:t>
      </w:r>
      <w:r w:rsidR="00F114CA" w:rsidRPr="003F641B">
        <w:t>).</w:t>
      </w:r>
    </w:p>
    <w:p w14:paraId="50226EC8" w14:textId="77777777" w:rsidR="00C21104" w:rsidRPr="003F641B" w:rsidRDefault="00C21104" w:rsidP="00B64B05"/>
    <w:p w14:paraId="077C723E" w14:textId="5E59A3F3" w:rsidR="00326913" w:rsidRPr="003F641B" w:rsidRDefault="00E508C9" w:rsidP="00B64B05">
      <w:r w:rsidRPr="003F641B">
        <w:t xml:space="preserve">Open data or open government data is typically used as a shorthand for </w:t>
      </w:r>
      <w:r w:rsidR="00E559DA" w:rsidRPr="003F641B">
        <w:t xml:space="preserve">a situation where </w:t>
      </w:r>
      <w:r w:rsidR="00327394" w:rsidRPr="003F641B">
        <w:t>information held by public sector bodies</w:t>
      </w:r>
      <w:r w:rsidR="00DF7363" w:rsidRPr="003F641B">
        <w:t xml:space="preserve"> bec</w:t>
      </w:r>
      <w:r w:rsidR="002B1BDA" w:rsidRPr="003F641B">
        <w:t xml:space="preserve">omes accessible to everyone, to use for different purposes. In reality there can be restraints on </w:t>
      </w:r>
      <w:r w:rsidR="002D6832" w:rsidRPr="003F641B">
        <w:t>who gets to use the data for which purposes</w:t>
      </w:r>
      <w:r w:rsidR="00D13590" w:rsidRPr="003F641B">
        <w:t>, so that properly speaking</w:t>
      </w:r>
      <w:r w:rsidR="00670D1F" w:rsidRPr="003F641B">
        <w:t xml:space="preserve"> the data is not fully open</w:t>
      </w:r>
      <w:r w:rsidR="002D6832" w:rsidRPr="003F641B">
        <w:t xml:space="preserve">. One </w:t>
      </w:r>
      <w:r w:rsidR="00552C00" w:rsidRPr="003F641B">
        <w:t>reason for that is that t</w:t>
      </w:r>
      <w:r w:rsidR="00326913" w:rsidRPr="003F641B">
        <w:t xml:space="preserve">he information </w:t>
      </w:r>
      <w:r w:rsidR="00552C00" w:rsidRPr="003F641B">
        <w:t>has</w:t>
      </w:r>
      <w:r w:rsidR="00326913" w:rsidRPr="003F641B">
        <w:t xml:space="preserve"> not necessarily </w:t>
      </w:r>
      <w:r w:rsidR="00552C00" w:rsidRPr="003F641B">
        <w:t xml:space="preserve">been </w:t>
      </w:r>
      <w:r w:rsidR="00326913" w:rsidRPr="003F641B">
        <w:t>produced by the public sector itself</w:t>
      </w:r>
      <w:r w:rsidR="00552C00" w:rsidRPr="003F641B">
        <w:t>. F</w:t>
      </w:r>
      <w:r w:rsidR="006346E8" w:rsidRPr="003F641B">
        <w:t>or example,</w:t>
      </w:r>
      <w:r w:rsidR="00326913" w:rsidRPr="003F641B">
        <w:t xml:space="preserve"> it </w:t>
      </w:r>
      <w:r w:rsidR="00A067EC" w:rsidRPr="003F641B">
        <w:t xml:space="preserve">may have been </w:t>
      </w:r>
      <w:r w:rsidR="001E55EA" w:rsidRPr="003F641B">
        <w:t>procured</w:t>
      </w:r>
      <w:r w:rsidR="006346E8" w:rsidRPr="003F641B">
        <w:t>, or the providers may be under a legal obligation to provide information as is the case with</w:t>
      </w:r>
      <w:r w:rsidR="00B9071D" w:rsidRPr="003F641B">
        <w:t xml:space="preserve"> land registries and company registries in many countries.</w:t>
      </w:r>
    </w:p>
    <w:p w14:paraId="508487EF" w14:textId="77777777" w:rsidR="002D6832" w:rsidRPr="003F641B" w:rsidRDefault="002D6832" w:rsidP="00B64B05"/>
    <w:p w14:paraId="16DCAF44" w14:textId="0B165ACD" w:rsidR="00B26D55" w:rsidRPr="003F641B" w:rsidRDefault="00B26D55" w:rsidP="00610B03">
      <w:pPr>
        <w:rPr>
          <w:rFonts w:cs="Times New Roman"/>
        </w:rPr>
      </w:pPr>
      <w:r w:rsidRPr="003F641B">
        <w:rPr>
          <w:rFonts w:cs="Times New Roman"/>
        </w:rPr>
        <w:t xml:space="preserve">That </w:t>
      </w:r>
      <w:r w:rsidR="00E9254F" w:rsidRPr="003F641B">
        <w:rPr>
          <w:rFonts w:cs="Times New Roman"/>
        </w:rPr>
        <w:t>the development towards open government data is a global phenomenon</w:t>
      </w:r>
      <w:r w:rsidR="00DD6913" w:rsidRPr="003F641B">
        <w:rPr>
          <w:rFonts w:cs="Times New Roman"/>
        </w:rPr>
        <w:t xml:space="preserve"> is clear from the variety of countries and international organizations that </w:t>
      </w:r>
      <w:r w:rsidR="006B41EE" w:rsidRPr="003F641B">
        <w:rPr>
          <w:rFonts w:cs="Times New Roman"/>
        </w:rPr>
        <w:t xml:space="preserve">pursue open policies. </w:t>
      </w:r>
      <w:r w:rsidR="0076732E" w:rsidRPr="003F641B">
        <w:rPr>
          <w:rFonts w:cs="Times New Roman"/>
        </w:rPr>
        <w:t xml:space="preserve">Examples are </w:t>
      </w:r>
      <w:r w:rsidRPr="003F641B">
        <w:rPr>
          <w:rFonts w:cs="Times New Roman"/>
        </w:rPr>
        <w:t xml:space="preserve">Korea, </w:t>
      </w:r>
      <w:r w:rsidR="00F321B2" w:rsidRPr="003F641B">
        <w:rPr>
          <w:rFonts w:cs="Times New Roman"/>
        </w:rPr>
        <w:t xml:space="preserve">Japan, </w:t>
      </w:r>
      <w:r w:rsidRPr="003F641B">
        <w:rPr>
          <w:rFonts w:cs="Times New Roman"/>
        </w:rPr>
        <w:t xml:space="preserve">Columbia, </w:t>
      </w:r>
      <w:r w:rsidR="0076732E" w:rsidRPr="003F641B">
        <w:rPr>
          <w:rFonts w:cs="Times New Roman"/>
        </w:rPr>
        <w:t xml:space="preserve">the </w:t>
      </w:r>
      <w:r w:rsidRPr="003F641B">
        <w:rPr>
          <w:rFonts w:cs="Times New Roman"/>
        </w:rPr>
        <w:t>EU</w:t>
      </w:r>
      <w:r w:rsidR="0076732E" w:rsidRPr="003F641B">
        <w:rPr>
          <w:rFonts w:cs="Times New Roman"/>
        </w:rPr>
        <w:t xml:space="preserve"> and its 27 Member States</w:t>
      </w:r>
      <w:r w:rsidRPr="003F641B">
        <w:rPr>
          <w:rFonts w:cs="Times New Roman"/>
        </w:rPr>
        <w:t xml:space="preserve">, </w:t>
      </w:r>
      <w:r w:rsidR="0076732E" w:rsidRPr="003F641B">
        <w:rPr>
          <w:rFonts w:cs="Times New Roman"/>
        </w:rPr>
        <w:t xml:space="preserve">the </w:t>
      </w:r>
      <w:r w:rsidRPr="003F641B">
        <w:rPr>
          <w:rFonts w:cs="Times New Roman"/>
        </w:rPr>
        <w:t>US, Canada, U</w:t>
      </w:r>
      <w:r w:rsidR="0076732E" w:rsidRPr="003F641B">
        <w:rPr>
          <w:rFonts w:cs="Times New Roman"/>
        </w:rPr>
        <w:t xml:space="preserve">nited Kingdom, New Zealand, </w:t>
      </w:r>
      <w:r w:rsidR="001E6D8A" w:rsidRPr="003F641B">
        <w:rPr>
          <w:rFonts w:cs="Times New Roman"/>
        </w:rPr>
        <w:t>Argentina,</w:t>
      </w:r>
      <w:r w:rsidR="0076732E" w:rsidRPr="003F641B">
        <w:rPr>
          <w:rFonts w:cs="Times New Roman"/>
        </w:rPr>
        <w:t xml:space="preserve"> and</w:t>
      </w:r>
      <w:r w:rsidRPr="003F641B">
        <w:rPr>
          <w:rFonts w:cs="Times New Roman"/>
        </w:rPr>
        <w:t xml:space="preserve"> Mexico). </w:t>
      </w:r>
      <w:r w:rsidR="0076732E" w:rsidRPr="003F641B">
        <w:rPr>
          <w:rFonts w:cs="Times New Roman"/>
        </w:rPr>
        <w:t xml:space="preserve">At the level of international </w:t>
      </w:r>
      <w:r w:rsidR="006B1410" w:rsidRPr="003F641B">
        <w:rPr>
          <w:rFonts w:cs="Times New Roman"/>
        </w:rPr>
        <w:t>organizations</w:t>
      </w:r>
      <w:r w:rsidR="00D96841" w:rsidRPr="003F641B">
        <w:rPr>
          <w:rFonts w:cs="Times New Roman"/>
        </w:rPr>
        <w:t xml:space="preserve">, the </w:t>
      </w:r>
      <w:r w:rsidR="0076732E" w:rsidRPr="003F641B">
        <w:rPr>
          <w:rFonts w:cs="Times New Roman"/>
        </w:rPr>
        <w:t xml:space="preserve">World bank, </w:t>
      </w:r>
      <w:r w:rsidR="00D96841" w:rsidRPr="003F641B">
        <w:rPr>
          <w:rFonts w:cs="Times New Roman"/>
        </w:rPr>
        <w:t>Organisation for Economic Development (</w:t>
      </w:r>
      <w:r w:rsidR="0076732E" w:rsidRPr="003F641B">
        <w:rPr>
          <w:rFonts w:cs="Times New Roman"/>
        </w:rPr>
        <w:t>OECD</w:t>
      </w:r>
      <w:r w:rsidR="00D96841" w:rsidRPr="003F641B">
        <w:rPr>
          <w:rFonts w:cs="Times New Roman"/>
        </w:rPr>
        <w:t>) and UNESCO</w:t>
      </w:r>
      <w:r w:rsidR="00C62714" w:rsidRPr="003F641B">
        <w:rPr>
          <w:rFonts w:cs="Times New Roman"/>
        </w:rPr>
        <w:t xml:space="preserve"> engage with open government data. WIPO too </w:t>
      </w:r>
      <w:r w:rsidR="005D7690" w:rsidRPr="003F641B">
        <w:rPr>
          <w:rFonts w:cs="Times New Roman"/>
        </w:rPr>
        <w:t xml:space="preserve">addresses the topic in some of its </w:t>
      </w:r>
      <w:r w:rsidR="00CE3DB7" w:rsidRPr="003F641B">
        <w:rPr>
          <w:rFonts w:cs="Times New Roman"/>
        </w:rPr>
        <w:t>meetings,</w:t>
      </w:r>
      <w:r w:rsidR="000C2864" w:rsidRPr="003F641B">
        <w:rPr>
          <w:rStyle w:val="FootnoteReference"/>
          <w:rFonts w:cs="Times New Roman"/>
        </w:rPr>
        <w:footnoteReference w:id="14"/>
      </w:r>
      <w:r w:rsidR="00CE3DB7" w:rsidRPr="003F641B">
        <w:rPr>
          <w:rFonts w:cs="Times New Roman"/>
        </w:rPr>
        <w:t xml:space="preserve"> and uses Creative Commons licenses for its</w:t>
      </w:r>
      <w:r w:rsidR="000C2864" w:rsidRPr="003F641B">
        <w:rPr>
          <w:rFonts w:cs="Times New Roman"/>
        </w:rPr>
        <w:t xml:space="preserve"> materials</w:t>
      </w:r>
      <w:r w:rsidR="00653D3E" w:rsidRPr="003F641B">
        <w:rPr>
          <w:rFonts w:cs="Times New Roman"/>
        </w:rPr>
        <w:t>.</w:t>
      </w:r>
    </w:p>
    <w:p w14:paraId="2F70D65E" w14:textId="77777777" w:rsidR="00B26D55" w:rsidRPr="003F641B" w:rsidRDefault="00B26D55" w:rsidP="00B64B05">
      <w:pPr>
        <w:rPr>
          <w:rStyle w:val="normaltextrun"/>
        </w:rPr>
      </w:pPr>
    </w:p>
    <w:p w14:paraId="286E5B0D" w14:textId="61CDFC50" w:rsidR="0061530C" w:rsidRPr="003F641B" w:rsidRDefault="0061530C" w:rsidP="00B64B05">
      <w:pPr>
        <w:rPr>
          <w:rStyle w:val="normaltextrun"/>
          <w:b/>
          <w:bCs/>
        </w:rPr>
      </w:pPr>
      <w:r w:rsidRPr="003F641B">
        <w:rPr>
          <w:rStyle w:val="normaltextrun"/>
          <w:b/>
          <w:bCs/>
        </w:rPr>
        <w:t>3.3 EU’s Open data directive</w:t>
      </w:r>
    </w:p>
    <w:p w14:paraId="432BD0DF" w14:textId="77777777" w:rsidR="00FB2C68" w:rsidRDefault="00FB2C68" w:rsidP="00AD4818"/>
    <w:p w14:paraId="0B34CC04" w14:textId="7ED14093" w:rsidR="008A52A2" w:rsidRPr="003F641B" w:rsidRDefault="00E13292" w:rsidP="00AD4818">
      <w:r>
        <w:t>To clarify what open data laws can look like,</w:t>
      </w:r>
      <w:r w:rsidR="0066252C">
        <w:t xml:space="preserve"> it can help to drill a bit into a</w:t>
      </w:r>
      <w:r w:rsidR="00180838" w:rsidRPr="003F641B">
        <w:t>n important instrument in which the development towards ‘open data’ is visible</w:t>
      </w:r>
      <w:r w:rsidR="0066252C">
        <w:t>:</w:t>
      </w:r>
      <w:r w:rsidR="00180838" w:rsidRPr="003F641B">
        <w:t xml:space="preserve"> the </w:t>
      </w:r>
      <w:r w:rsidR="0066252C">
        <w:t xml:space="preserve">EU’s </w:t>
      </w:r>
      <w:r w:rsidR="00074208" w:rsidRPr="003F641B">
        <w:t xml:space="preserve">Open data and public sector information directive (EU/2019/1024). It </w:t>
      </w:r>
      <w:r w:rsidR="003A34B0" w:rsidRPr="003F641B">
        <w:t xml:space="preserve">imposes obligations on all </w:t>
      </w:r>
      <w:r w:rsidR="00F578B3">
        <w:t>twenty-seven</w:t>
      </w:r>
      <w:r w:rsidR="003A34B0" w:rsidRPr="003F641B">
        <w:t xml:space="preserve"> EU member states to make information held by public sector bodies availab</w:t>
      </w:r>
      <w:r w:rsidR="005E7B18" w:rsidRPr="003F641B">
        <w:t xml:space="preserve">le for commercial and non-commercial re-use. </w:t>
      </w:r>
      <w:r w:rsidR="00F04422" w:rsidRPr="003F641B">
        <w:t>The original Directive dates back to 2003 and has become</w:t>
      </w:r>
      <w:r w:rsidR="00340515" w:rsidRPr="003F641B">
        <w:t xml:space="preserve"> </w:t>
      </w:r>
      <w:r w:rsidR="005550C5" w:rsidRPr="003F641B">
        <w:t>stricter and more detailed</w:t>
      </w:r>
      <w:r w:rsidR="00340515" w:rsidRPr="003F641B">
        <w:t>, covering a wider range of (semi)public organizations</w:t>
      </w:r>
      <w:r w:rsidR="00423F47" w:rsidRPr="003F641B">
        <w:t>, in the subsequent 2013 and 2019 revisions.</w:t>
      </w:r>
      <w:r w:rsidR="003A6FA8" w:rsidRPr="003F641B">
        <w:rPr>
          <w:rStyle w:val="FootnoteReference"/>
        </w:rPr>
        <w:footnoteReference w:id="15"/>
      </w:r>
      <w:r w:rsidR="00423F47" w:rsidRPr="003F641B">
        <w:t xml:space="preserve"> From the start, it was informed by</w:t>
      </w:r>
      <w:r w:rsidR="005C6ED3" w:rsidRPr="003F641B">
        <w:t xml:space="preserve"> the idea that making government information available for re-use is good for the economy as it allows companies to develop new</w:t>
      </w:r>
      <w:r w:rsidR="00694753" w:rsidRPr="003F641B">
        <w:t xml:space="preserve"> information products and services. </w:t>
      </w:r>
    </w:p>
    <w:p w14:paraId="65123079" w14:textId="77777777" w:rsidR="008A52A2" w:rsidRPr="003F641B" w:rsidRDefault="008A52A2" w:rsidP="00AD4818"/>
    <w:p w14:paraId="1BB24B00" w14:textId="7669FA09" w:rsidR="009E37FF" w:rsidRPr="003F641B" w:rsidRDefault="004C029C" w:rsidP="00AD4818">
      <w:r w:rsidRPr="003F641B">
        <w:t>T</w:t>
      </w:r>
      <w:r w:rsidR="00AD4818" w:rsidRPr="003F641B">
        <w:t xml:space="preserve">he </w:t>
      </w:r>
      <w:r w:rsidR="00D97934" w:rsidRPr="003F641B">
        <w:t xml:space="preserve">main characteristics of the </w:t>
      </w:r>
      <w:r w:rsidR="00AD4818" w:rsidRPr="003F641B">
        <w:t>Open data directive</w:t>
      </w:r>
      <w:r w:rsidRPr="003F641B">
        <w:t xml:space="preserve"> </w:t>
      </w:r>
      <w:r w:rsidR="00AD4818" w:rsidRPr="003F641B">
        <w:t>are</w:t>
      </w:r>
      <w:r w:rsidR="00D97934" w:rsidRPr="003F641B">
        <w:t xml:space="preserve"> that</w:t>
      </w:r>
      <w:r w:rsidR="00794CA7" w:rsidRPr="003F641B">
        <w:t xml:space="preserve"> i</w:t>
      </w:r>
      <w:r w:rsidR="00AD4818" w:rsidRPr="003F641B">
        <w:t xml:space="preserve">t applies to </w:t>
      </w:r>
      <w:r w:rsidR="00C24AC5" w:rsidRPr="003F641B">
        <w:t>‘</w:t>
      </w:r>
      <w:r w:rsidR="00AD4818" w:rsidRPr="003F641B">
        <w:t>public sector bodies</w:t>
      </w:r>
      <w:r w:rsidR="00C24AC5" w:rsidRPr="003F641B">
        <w:t xml:space="preserve">’ in a broad sense and across all levels of </w:t>
      </w:r>
      <w:r w:rsidR="005D7B05" w:rsidRPr="003F641B">
        <w:t>government</w:t>
      </w:r>
      <w:r w:rsidR="00794CA7" w:rsidRPr="003F641B">
        <w:t xml:space="preserve">. </w:t>
      </w:r>
      <w:r w:rsidR="005D7B05" w:rsidRPr="003F641B">
        <w:t>A</w:t>
      </w:r>
      <w:r w:rsidR="001C27C4" w:rsidRPr="003F641B">
        <w:t>ll State, regional or local authorities</w:t>
      </w:r>
      <w:r w:rsidR="00485038" w:rsidRPr="003F641B">
        <w:t xml:space="preserve"> and other</w:t>
      </w:r>
      <w:r w:rsidR="001C27C4" w:rsidRPr="003F641B">
        <w:t xml:space="preserve"> bodies governed by public law</w:t>
      </w:r>
      <w:r w:rsidR="005D7B05" w:rsidRPr="003F641B">
        <w:t xml:space="preserve"> are subject to the Directive, and a</w:t>
      </w:r>
      <w:r w:rsidR="006C4A4C" w:rsidRPr="003F641B">
        <w:t xml:space="preserve"> number of its obligations also apply to public undertakings.</w:t>
      </w:r>
      <w:r w:rsidR="00AD4818" w:rsidRPr="003F641B">
        <w:t xml:space="preserve"> </w:t>
      </w:r>
      <w:r w:rsidR="00885CDB" w:rsidRPr="003F641B">
        <w:t xml:space="preserve">A few types of </w:t>
      </w:r>
      <w:r w:rsidR="0057462B" w:rsidRPr="003F641B">
        <w:t>public bodies are exempted</w:t>
      </w:r>
      <w:r w:rsidR="00063CFB" w:rsidRPr="003F641B">
        <w:t xml:space="preserve">. </w:t>
      </w:r>
      <w:r w:rsidR="000217A3" w:rsidRPr="003F641B">
        <w:t xml:space="preserve">An </w:t>
      </w:r>
      <w:r w:rsidR="000217A3" w:rsidRPr="003F641B">
        <w:lastRenderedPageBreak/>
        <w:t>important category are</w:t>
      </w:r>
      <w:r w:rsidR="0057462B" w:rsidRPr="003F641B">
        <w:t xml:space="preserve"> public service broadcasters</w:t>
      </w:r>
      <w:r w:rsidR="00063CFB" w:rsidRPr="003F641B">
        <w:t xml:space="preserve">, which hold a lot of </w:t>
      </w:r>
      <w:r w:rsidR="00885CDB" w:rsidRPr="003F641B">
        <w:t>content that is subject to third party intellectual property</w:t>
      </w:r>
      <w:r w:rsidR="0057462B" w:rsidRPr="003F641B">
        <w:t>.</w:t>
      </w:r>
      <w:r w:rsidR="00D7329A" w:rsidRPr="003F641B">
        <w:t xml:space="preserve"> </w:t>
      </w:r>
      <w:r w:rsidR="000014E5" w:rsidRPr="003F641B">
        <w:t xml:space="preserve">Of note, the Directive does not cover </w:t>
      </w:r>
      <w:r w:rsidR="0049670D" w:rsidRPr="003F641B">
        <w:t xml:space="preserve">information (‘documents’ in the wording of the Directive) in which </w:t>
      </w:r>
      <w:r w:rsidR="008803DF" w:rsidRPr="003F641B">
        <w:t xml:space="preserve">outside </w:t>
      </w:r>
      <w:r w:rsidR="0049670D" w:rsidRPr="003F641B">
        <w:t>third parties hold copyright</w:t>
      </w:r>
      <w:r w:rsidR="00D3558B" w:rsidRPr="003F641B">
        <w:t xml:space="preserve"> or other intellectual property</w:t>
      </w:r>
      <w:r w:rsidR="0049670D" w:rsidRPr="003F641B">
        <w:t xml:space="preserve">. </w:t>
      </w:r>
      <w:r w:rsidR="008803DF" w:rsidRPr="003F641B">
        <w:t xml:space="preserve"> It does however cover</w:t>
      </w:r>
      <w:r w:rsidR="00AD4818" w:rsidRPr="003F641B">
        <w:t xml:space="preserve"> a wide range of information </w:t>
      </w:r>
      <w:r w:rsidR="008803DF" w:rsidRPr="003F641B">
        <w:t>types</w:t>
      </w:r>
      <w:r w:rsidR="00B12579" w:rsidRPr="003F641B">
        <w:t xml:space="preserve">. </w:t>
      </w:r>
      <w:r w:rsidR="00737031" w:rsidRPr="003F641B">
        <w:t>Another important characteristic is that</w:t>
      </w:r>
      <w:r w:rsidR="006F1CDD" w:rsidRPr="003F641B">
        <w:t xml:space="preserve"> it only applies to information that is accessible to the public under</w:t>
      </w:r>
      <w:r w:rsidR="005D1EAC" w:rsidRPr="003F641B">
        <w:t xml:space="preserve"> domestic or EU law. In other words, the directive does not regulate access to information</w:t>
      </w:r>
      <w:r w:rsidR="00920881" w:rsidRPr="003F641B">
        <w:t>, only its subsequent re-use. I</w:t>
      </w:r>
      <w:r w:rsidR="00AD4818" w:rsidRPr="003F641B">
        <w:t xml:space="preserve">t creates an obligation to allow re-use </w:t>
      </w:r>
      <w:r w:rsidR="00914A69" w:rsidRPr="003F641B">
        <w:t xml:space="preserve">with </w:t>
      </w:r>
      <w:r w:rsidR="00AD4818" w:rsidRPr="003F641B">
        <w:t>as few conditions as possible</w:t>
      </w:r>
      <w:r w:rsidR="00A67814" w:rsidRPr="003F641B">
        <w:t xml:space="preserve"> (with some exceptions)</w:t>
      </w:r>
      <w:r w:rsidR="0096486F" w:rsidRPr="003F641B">
        <w:t xml:space="preserve">. For public undertakings and </w:t>
      </w:r>
      <w:r w:rsidR="00A67814" w:rsidRPr="003F641B">
        <w:t>cultural herit</w:t>
      </w:r>
      <w:r w:rsidR="00495A64" w:rsidRPr="003F641B">
        <w:t xml:space="preserve">age institutions like </w:t>
      </w:r>
      <w:r w:rsidR="0096486F" w:rsidRPr="003F641B">
        <w:t xml:space="preserve">libraries, </w:t>
      </w:r>
      <w:r w:rsidR="001E6D8A" w:rsidRPr="003F641B">
        <w:t>museums,</w:t>
      </w:r>
      <w:r w:rsidR="0096486F" w:rsidRPr="003F641B">
        <w:t xml:space="preserve"> and archives there is no hard obligation to allow re-use.</w:t>
      </w:r>
    </w:p>
    <w:p w14:paraId="567ADA26" w14:textId="77777777" w:rsidR="00C0395D" w:rsidRPr="003F641B" w:rsidRDefault="00C0395D" w:rsidP="00AD4818"/>
    <w:p w14:paraId="3E01FDE3" w14:textId="4F19F318" w:rsidR="007A3667" w:rsidRPr="003F641B" w:rsidRDefault="00C0395D" w:rsidP="00AD4818">
      <w:r w:rsidRPr="003F641B">
        <w:t>Although the EU legislator shied away from introducing a clause that explicitly addresses the exercise of copyright or related rights that public sector bodies might own</w:t>
      </w:r>
      <w:r w:rsidR="007D1CAD" w:rsidRPr="003F641B">
        <w:t xml:space="preserve"> themselves</w:t>
      </w:r>
      <w:r w:rsidRPr="003F641B">
        <w:t xml:space="preserve">, clearly the Open data directive is meant to regulate their exercise. </w:t>
      </w:r>
      <w:r w:rsidR="007D1CAD" w:rsidRPr="003F641B">
        <w:t>With respect to the sui generis database rights the Directive goes</w:t>
      </w:r>
      <w:r w:rsidR="00EE4202" w:rsidRPr="003F641B">
        <w:t xml:space="preserve"> furthest: p</w:t>
      </w:r>
      <w:r w:rsidR="009E37FF" w:rsidRPr="003F641B">
        <w:t xml:space="preserve">ublic sector bodies </w:t>
      </w:r>
      <w:r w:rsidR="00EE4202" w:rsidRPr="003F641B">
        <w:t xml:space="preserve">may not </w:t>
      </w:r>
      <w:r w:rsidR="00945427" w:rsidRPr="003F641B">
        <w:t>exercis</w:t>
      </w:r>
      <w:r w:rsidR="00EE4202" w:rsidRPr="003F641B">
        <w:t>e</w:t>
      </w:r>
      <w:r w:rsidR="00945427" w:rsidRPr="003F641B">
        <w:t xml:space="preserve"> </w:t>
      </w:r>
      <w:r w:rsidR="00EE4202" w:rsidRPr="003F641B">
        <w:t>these</w:t>
      </w:r>
      <w:r w:rsidR="00945427" w:rsidRPr="003F641B">
        <w:t xml:space="preserve"> in a way that undercuts the Open data dire</w:t>
      </w:r>
      <w:r w:rsidR="00906393" w:rsidRPr="003F641B">
        <w:t>ctive</w:t>
      </w:r>
      <w:r w:rsidR="0042438F" w:rsidRPr="003F641B">
        <w:t>. Specifically, they are not allowed to</w:t>
      </w:r>
      <w:r w:rsidR="0052443D" w:rsidRPr="003F641B">
        <w:t xml:space="preserve"> </w:t>
      </w:r>
      <w:r w:rsidR="009F7646" w:rsidRPr="003F641B">
        <w:t>invoke the</w:t>
      </w:r>
      <w:r w:rsidR="00D459A3" w:rsidRPr="003F641B">
        <w:t>ir</w:t>
      </w:r>
      <w:r w:rsidR="009F7646" w:rsidRPr="003F641B">
        <w:t xml:space="preserve"> database right</w:t>
      </w:r>
      <w:r w:rsidR="00D459A3" w:rsidRPr="003F641B">
        <w:t>s</w:t>
      </w:r>
      <w:r w:rsidR="009F7646" w:rsidRPr="003F641B">
        <w:t xml:space="preserve"> </w:t>
      </w:r>
      <w:r w:rsidR="0042438F" w:rsidRPr="003F641B">
        <w:t>to prevent re-use of documents</w:t>
      </w:r>
      <w:r w:rsidR="00293CD4" w:rsidRPr="003F641B">
        <w:t>,</w:t>
      </w:r>
      <w:r w:rsidR="0042438F" w:rsidRPr="003F641B">
        <w:t xml:space="preserve"> or to restrict re-use beyond the limits set by th</w:t>
      </w:r>
      <w:r w:rsidR="00293CD4" w:rsidRPr="003F641B">
        <w:t xml:space="preserve">e </w:t>
      </w:r>
      <w:r w:rsidR="0042438F" w:rsidRPr="003F641B">
        <w:t>Directive</w:t>
      </w:r>
      <w:r w:rsidR="00521E00" w:rsidRPr="003F641B">
        <w:t xml:space="preserve"> (</w:t>
      </w:r>
      <w:r w:rsidR="001034FD" w:rsidRPr="003F641B">
        <w:t xml:space="preserve">Art </w:t>
      </w:r>
      <w:r w:rsidR="009D6EA2" w:rsidRPr="003F641B">
        <w:t>1(6)</w:t>
      </w:r>
      <w:r w:rsidR="000E7A41" w:rsidRPr="003F641B">
        <w:t xml:space="preserve"> Open Data Directive</w:t>
      </w:r>
      <w:r w:rsidR="00220BBE" w:rsidRPr="003F641B">
        <w:t>)</w:t>
      </w:r>
      <w:r w:rsidR="006D4626" w:rsidRPr="003F641B">
        <w:t>.</w:t>
      </w:r>
      <w:r w:rsidR="006328C7" w:rsidRPr="003F641B">
        <w:t xml:space="preserve"> </w:t>
      </w:r>
      <w:r w:rsidR="00A12157" w:rsidRPr="003F641B">
        <w:t xml:space="preserve">Such important limits are set out in </w:t>
      </w:r>
      <w:r w:rsidR="006328C7" w:rsidRPr="003F641B">
        <w:t>Article 7</w:t>
      </w:r>
      <w:r w:rsidR="00A12157" w:rsidRPr="003F641B">
        <w:t>, which</w:t>
      </w:r>
      <w:r w:rsidR="006328C7" w:rsidRPr="003F641B">
        <w:t xml:space="preserve"> provides that re-use </w:t>
      </w:r>
      <w:r w:rsidR="001034FD" w:rsidRPr="003F641B">
        <w:t>“</w:t>
      </w:r>
      <w:r w:rsidR="006328C7" w:rsidRPr="003F641B">
        <w:t>shall not be subject to conditions, unless such conditions are objective, proportionate, non-discriminatory and justified on grounds of a public interest objective.</w:t>
      </w:r>
      <w:r w:rsidR="001034FD" w:rsidRPr="003F641B">
        <w:t>”</w:t>
      </w:r>
      <w:r w:rsidR="00A12157" w:rsidRPr="003F641B">
        <w:t xml:space="preserve"> </w:t>
      </w:r>
      <w:r w:rsidR="00906393" w:rsidRPr="003F641B">
        <w:t xml:space="preserve"> </w:t>
      </w:r>
    </w:p>
    <w:p w14:paraId="07A2C85B" w14:textId="77777777" w:rsidR="0061530C" w:rsidRPr="003F641B" w:rsidRDefault="0061530C" w:rsidP="00AD4818"/>
    <w:p w14:paraId="2A07FA7A" w14:textId="36557629" w:rsidR="004E21DE" w:rsidRPr="003F641B" w:rsidRDefault="004E21DE" w:rsidP="00AD4818">
      <w:r w:rsidRPr="003F641B">
        <w:t xml:space="preserve">A </w:t>
      </w:r>
      <w:r w:rsidRPr="003F641B">
        <w:rPr>
          <w:lang w:eastAsia="nl-NL"/>
        </w:rPr>
        <w:t xml:space="preserve">crucial aspect of </w:t>
      </w:r>
      <w:r w:rsidR="006A06EF" w:rsidRPr="003F641B">
        <w:rPr>
          <w:lang w:eastAsia="nl-NL"/>
        </w:rPr>
        <w:t>the Open data directive is that in principle,</w:t>
      </w:r>
      <w:r w:rsidR="009514E9" w:rsidRPr="003F641B">
        <w:rPr>
          <w:lang w:eastAsia="nl-NL"/>
        </w:rPr>
        <w:t xml:space="preserve"> re-use should be free of charge. This means</w:t>
      </w:r>
      <w:r w:rsidR="006A06EF" w:rsidRPr="003F641B">
        <w:rPr>
          <w:lang w:eastAsia="nl-NL"/>
        </w:rPr>
        <w:t xml:space="preserve"> no royalties or other compensation</w:t>
      </w:r>
      <w:r w:rsidR="009514E9" w:rsidRPr="003F641B">
        <w:rPr>
          <w:lang w:eastAsia="nl-NL"/>
        </w:rPr>
        <w:t xml:space="preserve"> can be required. </w:t>
      </w:r>
      <w:r w:rsidR="002B1889" w:rsidRPr="003F641B">
        <w:rPr>
          <w:lang w:eastAsia="nl-NL"/>
        </w:rPr>
        <w:t>Users can be asked however to cover</w:t>
      </w:r>
      <w:r w:rsidR="005B411E" w:rsidRPr="003F641B">
        <w:rPr>
          <w:lang w:eastAsia="nl-NL"/>
        </w:rPr>
        <w:t xml:space="preserve"> the costs that a public sector body has to make for </w:t>
      </w:r>
      <w:r w:rsidR="00CE614B" w:rsidRPr="003F641B">
        <w:rPr>
          <w:lang w:eastAsia="nl-NL"/>
        </w:rPr>
        <w:t xml:space="preserve">the supply </w:t>
      </w:r>
      <w:r w:rsidR="005B411E" w:rsidRPr="003F641B">
        <w:rPr>
          <w:lang w:eastAsia="nl-NL"/>
        </w:rPr>
        <w:t xml:space="preserve">of information. </w:t>
      </w:r>
      <w:r w:rsidR="00CE614B" w:rsidRPr="003F641B">
        <w:rPr>
          <w:lang w:eastAsia="nl-NL"/>
        </w:rPr>
        <w:t xml:space="preserve">The justification for </w:t>
      </w:r>
      <w:r w:rsidR="00FB1140" w:rsidRPr="003F641B">
        <w:rPr>
          <w:lang w:eastAsia="nl-NL"/>
        </w:rPr>
        <w:t xml:space="preserve">charging at most the (marginal) cost of dissemination is that </w:t>
      </w:r>
      <w:r w:rsidRPr="003F641B">
        <w:rPr>
          <w:lang w:eastAsia="nl-NL"/>
        </w:rPr>
        <w:t>information has properties of a (semi) public good</w:t>
      </w:r>
      <w:r w:rsidR="00253673" w:rsidRPr="003F641B">
        <w:rPr>
          <w:lang w:eastAsia="nl-NL"/>
        </w:rPr>
        <w:t xml:space="preserve">. Especially its </w:t>
      </w:r>
      <w:r w:rsidRPr="003F641B">
        <w:rPr>
          <w:lang w:eastAsia="nl-NL"/>
        </w:rPr>
        <w:t>non-rival</w:t>
      </w:r>
      <w:r w:rsidR="00253673" w:rsidRPr="003F641B">
        <w:rPr>
          <w:lang w:eastAsia="nl-NL"/>
        </w:rPr>
        <w:t xml:space="preserve"> nature</w:t>
      </w:r>
      <w:r w:rsidRPr="003F641B">
        <w:rPr>
          <w:lang w:eastAsia="nl-NL"/>
        </w:rPr>
        <w:t xml:space="preserve"> makes it economically sound practice to allow re-use.</w:t>
      </w:r>
      <w:r w:rsidRPr="003F641B">
        <w:rPr>
          <w:vertAlign w:val="superscript"/>
          <w:lang w:eastAsia="nl-NL"/>
        </w:rPr>
        <w:footnoteReference w:id="16"/>
      </w:r>
      <w:r w:rsidRPr="003F641B">
        <w:rPr>
          <w:lang w:eastAsia="nl-NL"/>
        </w:rPr>
        <w:t xml:space="preserve"> </w:t>
      </w:r>
      <w:r w:rsidR="00253673" w:rsidRPr="003F641B">
        <w:rPr>
          <w:lang w:eastAsia="nl-NL"/>
        </w:rPr>
        <w:t xml:space="preserve">Once </w:t>
      </w:r>
      <w:r w:rsidRPr="003F641B">
        <w:rPr>
          <w:lang w:eastAsia="nl-NL"/>
        </w:rPr>
        <w:t xml:space="preserve">information is produced for public task purposes and tax-funded, </w:t>
      </w:r>
      <w:r w:rsidR="00712D08" w:rsidRPr="003F641B">
        <w:rPr>
          <w:lang w:eastAsia="nl-NL"/>
        </w:rPr>
        <w:t>the</w:t>
      </w:r>
      <w:r w:rsidRPr="003F641B">
        <w:rPr>
          <w:lang w:eastAsia="nl-NL"/>
        </w:rPr>
        <w:t xml:space="preserve"> subsequent release for alternative uses</w:t>
      </w:r>
      <w:r w:rsidR="00712D08" w:rsidRPr="003F641B">
        <w:rPr>
          <w:lang w:eastAsia="nl-NL"/>
        </w:rPr>
        <w:t xml:space="preserve"> is held to maximize w</w:t>
      </w:r>
      <w:r w:rsidR="00253673" w:rsidRPr="003F641B">
        <w:rPr>
          <w:lang w:eastAsia="nl-NL"/>
        </w:rPr>
        <w:t>elfare</w:t>
      </w:r>
      <w:r w:rsidR="00712D08" w:rsidRPr="003F641B">
        <w:rPr>
          <w:lang w:eastAsia="nl-NL"/>
        </w:rPr>
        <w:t>.</w:t>
      </w:r>
      <w:r w:rsidR="00090C33" w:rsidRPr="003F641B">
        <w:rPr>
          <w:rFonts w:eastAsia="PalatinoLinotype-Roman"/>
          <w:vertAlign w:val="superscript"/>
          <w:lang w:eastAsia="nl-NL"/>
        </w:rPr>
        <w:t xml:space="preserve"> </w:t>
      </w:r>
      <w:r w:rsidR="00090C33" w:rsidRPr="003F641B">
        <w:rPr>
          <w:rFonts w:eastAsia="PalatinoLinotype-Roman"/>
          <w:vertAlign w:val="superscript"/>
          <w:lang w:eastAsia="nl-NL"/>
        </w:rPr>
        <w:footnoteReference w:id="17"/>
      </w:r>
      <w:r w:rsidR="00253673" w:rsidRPr="003F641B">
        <w:rPr>
          <w:lang w:eastAsia="nl-NL"/>
        </w:rPr>
        <w:t xml:space="preserve"> </w:t>
      </w:r>
    </w:p>
    <w:p w14:paraId="5633EE92" w14:textId="499D0B0D" w:rsidR="006C130C" w:rsidRPr="003F641B" w:rsidRDefault="006C130C" w:rsidP="00B64B05"/>
    <w:p w14:paraId="6831034F" w14:textId="4EA86007" w:rsidR="00FE4843" w:rsidRPr="003F641B" w:rsidRDefault="00FE4843" w:rsidP="00952323">
      <w:r w:rsidRPr="003F641B">
        <w:t>The EU are well aware of their international obligations, so this is made clear in the Open data directive</w:t>
      </w:r>
      <w:r w:rsidR="00DF2FAD" w:rsidRPr="003F641B">
        <w:t>.</w:t>
      </w:r>
      <w:r w:rsidRPr="003F641B">
        <w:t xml:space="preserve"> </w:t>
      </w:r>
      <w:r w:rsidR="0018306D" w:rsidRPr="003F641B">
        <w:t>Article 1(5) provides: “The obligations imposed in accordance with this Directive shall apply only insofar as they are compatible with the provisions of international agreements on the protection of intellectual property rights, in particular the Berne Convention, the TRIPS Agreement and the WCT.”</w:t>
      </w:r>
      <w:r w:rsidR="00DF2FAD" w:rsidRPr="003F641B">
        <w:t xml:space="preserve"> </w:t>
      </w:r>
      <w:r w:rsidRPr="003F641B">
        <w:t xml:space="preserve">It is of course the case that the Directive aims to severely limit the exercise of </w:t>
      </w:r>
      <w:r w:rsidR="009865FE" w:rsidRPr="003F641B">
        <w:t xml:space="preserve">copyright and related rights </w:t>
      </w:r>
      <w:r w:rsidRPr="003F641B">
        <w:t>by public sector bodies.</w:t>
      </w:r>
    </w:p>
    <w:p w14:paraId="3B58EC67" w14:textId="77777777" w:rsidR="00FE4843" w:rsidRPr="003F641B" w:rsidRDefault="00FE4843" w:rsidP="00FE4843">
      <w:pPr>
        <w:spacing w:line="240" w:lineRule="auto"/>
        <w:rPr>
          <w:rFonts w:cs="Times New Roman"/>
        </w:rPr>
      </w:pPr>
    </w:p>
    <w:p w14:paraId="5D720B2D" w14:textId="4C2134AA" w:rsidR="00FE4843" w:rsidRPr="003F641B" w:rsidRDefault="005550C5" w:rsidP="00FE4843">
      <w:pPr>
        <w:spacing w:line="240" w:lineRule="auto"/>
        <w:rPr>
          <w:rFonts w:cs="Times New Roman"/>
        </w:rPr>
      </w:pPr>
      <w:r w:rsidRPr="003F641B">
        <w:rPr>
          <w:rFonts w:cs="Times New Roman"/>
        </w:rPr>
        <w:t>So,</w:t>
      </w:r>
      <w:r w:rsidR="00FE4843" w:rsidRPr="003F641B">
        <w:rPr>
          <w:rFonts w:cs="Times New Roman"/>
        </w:rPr>
        <w:t xml:space="preserve"> what are the international obligations?</w:t>
      </w:r>
      <w:r w:rsidR="0061530C" w:rsidRPr="003F641B">
        <w:rPr>
          <w:rFonts w:cs="Times New Roman"/>
        </w:rPr>
        <w:t xml:space="preserve"> We turn to them next and then</w:t>
      </w:r>
      <w:r w:rsidR="006D6DF1" w:rsidRPr="003F641B">
        <w:rPr>
          <w:rFonts w:cs="Times New Roman"/>
        </w:rPr>
        <w:t xml:space="preserve"> also look at some examples of how contracting states deal with copyright in public sector works.</w:t>
      </w:r>
    </w:p>
    <w:p w14:paraId="3824C743" w14:textId="77777777" w:rsidR="00242C7C" w:rsidRPr="003F641B" w:rsidRDefault="00242C7C" w:rsidP="005339EE"/>
    <w:p w14:paraId="14AE0F2C" w14:textId="16BF51E6" w:rsidR="00A515A3" w:rsidRPr="003F641B" w:rsidRDefault="00242C7C" w:rsidP="00242C7C">
      <w:pPr>
        <w:pStyle w:val="Heading1"/>
      </w:pPr>
      <w:r w:rsidRPr="003F641B">
        <w:t>Copyright and related rights in information held by public bodies</w:t>
      </w:r>
    </w:p>
    <w:p w14:paraId="44B5B39B" w14:textId="77777777" w:rsidR="00242C7C" w:rsidRPr="003F641B" w:rsidRDefault="00242C7C" w:rsidP="007E5556"/>
    <w:p w14:paraId="7B6AE4F7" w14:textId="35164319" w:rsidR="00194CFC" w:rsidRPr="003F641B" w:rsidRDefault="00BD2A30" w:rsidP="002B55E9">
      <w:r w:rsidRPr="003F641B">
        <w:t>In international policy making in the field of copyright, the stat</w:t>
      </w:r>
      <w:r w:rsidR="00B16EF8" w:rsidRPr="003F641B">
        <w:t xml:space="preserve">us of governments as owners of rights and of </w:t>
      </w:r>
      <w:r w:rsidR="00961B97" w:rsidRPr="003F641B">
        <w:t>works produced by or for the fulfilment of public interest tasks</w:t>
      </w:r>
      <w:r w:rsidR="00D45675" w:rsidRPr="003F641B">
        <w:t xml:space="preserve"> has </w:t>
      </w:r>
      <w:r w:rsidR="00772729" w:rsidRPr="003F641B">
        <w:t xml:space="preserve">never </w:t>
      </w:r>
      <w:r w:rsidR="00D45675" w:rsidRPr="003F641B">
        <w:t xml:space="preserve">received </w:t>
      </w:r>
      <w:r w:rsidR="00772729" w:rsidRPr="003F641B">
        <w:t>much</w:t>
      </w:r>
      <w:r w:rsidR="00D45675" w:rsidRPr="003F641B">
        <w:t xml:space="preserve"> attention. </w:t>
      </w:r>
      <w:r w:rsidR="00EB5474" w:rsidRPr="003F641B">
        <w:t>The multilateral treaties allow states plenty of room, and</w:t>
      </w:r>
      <w:r w:rsidR="004F0D71" w:rsidRPr="003F641B">
        <w:t xml:space="preserve"> as can be gleaned from national laws, public sector information is treated differently in different countries.</w:t>
      </w:r>
    </w:p>
    <w:p w14:paraId="018DE45A" w14:textId="77777777" w:rsidR="004F0D71" w:rsidRPr="003F641B" w:rsidRDefault="004F0D71" w:rsidP="002B55E9"/>
    <w:p w14:paraId="6A25982B" w14:textId="79D0565F" w:rsidR="004F0D71" w:rsidRPr="003F641B" w:rsidRDefault="008D07BF" w:rsidP="008D07BF">
      <w:pPr>
        <w:rPr>
          <w:b/>
          <w:bCs/>
        </w:rPr>
      </w:pPr>
      <w:r w:rsidRPr="003F641B">
        <w:rPr>
          <w:b/>
          <w:bCs/>
        </w:rPr>
        <w:t xml:space="preserve">4.1 </w:t>
      </w:r>
      <w:r w:rsidR="004F0D71" w:rsidRPr="003F641B">
        <w:rPr>
          <w:b/>
          <w:bCs/>
        </w:rPr>
        <w:t>T</w:t>
      </w:r>
      <w:r w:rsidR="004C2AE6" w:rsidRPr="003F641B">
        <w:rPr>
          <w:b/>
          <w:bCs/>
        </w:rPr>
        <w:t>he Berne Convention and subsequent treaties</w:t>
      </w:r>
    </w:p>
    <w:p w14:paraId="6D2DD6C1" w14:textId="77777777" w:rsidR="00DD42BD" w:rsidRDefault="00DD42BD" w:rsidP="002B55E9"/>
    <w:p w14:paraId="38E09032" w14:textId="612BECF1" w:rsidR="00844190" w:rsidRPr="003F641B" w:rsidRDefault="00286B3B" w:rsidP="002B55E9">
      <w:r w:rsidRPr="003F641B">
        <w:t>The most pertinent</w:t>
      </w:r>
      <w:r w:rsidR="002B55E9" w:rsidRPr="003F641B">
        <w:t xml:space="preserve"> provision remains </w:t>
      </w:r>
      <w:r w:rsidR="006D223F" w:rsidRPr="003F641B">
        <w:t>Article 4(2) Berne Convention (Paris text)</w:t>
      </w:r>
      <w:r w:rsidR="002B55E9" w:rsidRPr="003F641B">
        <w:t>. It</w:t>
      </w:r>
      <w:r w:rsidR="006D223F" w:rsidRPr="003F641B">
        <w:t xml:space="preserve"> reads</w:t>
      </w:r>
      <w:r w:rsidR="005550C5" w:rsidRPr="003F641B">
        <w:t>: “</w:t>
      </w:r>
      <w:r w:rsidR="006D223F" w:rsidRPr="003F641B">
        <w:t>It shall be a matter for legislation in the countries of the Union to determine the protection to be granted to official texts of a legislative, administrative and legal nature, and to official translations of such texts.</w:t>
      </w:r>
      <w:r w:rsidR="00220DA2" w:rsidRPr="003F641B">
        <w:t>”</w:t>
      </w:r>
      <w:r w:rsidR="002B55E9" w:rsidRPr="003F641B">
        <w:t xml:space="preserve"> </w:t>
      </w:r>
      <w:r w:rsidR="00844190" w:rsidRPr="003F641B">
        <w:t xml:space="preserve">This </w:t>
      </w:r>
      <w:r w:rsidR="002B55E9" w:rsidRPr="003F641B">
        <w:t xml:space="preserve">particular </w:t>
      </w:r>
      <w:r w:rsidR="00844190" w:rsidRPr="003F641B">
        <w:t xml:space="preserve">phrasing is the outcome of a longer </w:t>
      </w:r>
      <w:r w:rsidR="0020713A" w:rsidRPr="003F641B">
        <w:t>process</w:t>
      </w:r>
      <w:r w:rsidR="00844190" w:rsidRPr="003F641B">
        <w:t>.</w:t>
      </w:r>
      <w:r w:rsidR="00844190" w:rsidRPr="003F641B">
        <w:rPr>
          <w:rStyle w:val="FootnoteReference"/>
        </w:rPr>
        <w:footnoteReference w:id="18"/>
      </w:r>
    </w:p>
    <w:p w14:paraId="4EBFA406" w14:textId="77777777" w:rsidR="002B55E9" w:rsidRPr="003F641B" w:rsidRDefault="002B55E9" w:rsidP="002B55E9"/>
    <w:p w14:paraId="77047C9D" w14:textId="33C5EF57" w:rsidR="00A54D05" w:rsidRPr="003F641B" w:rsidRDefault="00632863" w:rsidP="00DC3B4B">
      <w:r w:rsidRPr="003F641B">
        <w:t>The original Berne text of</w:t>
      </w:r>
      <w:r w:rsidR="008D0574" w:rsidRPr="003F641B">
        <w:t xml:space="preserve"> </w:t>
      </w:r>
      <w:r w:rsidRPr="003F641B">
        <w:t xml:space="preserve">1886 </w:t>
      </w:r>
      <w:r w:rsidR="0085691B" w:rsidRPr="003F641B">
        <w:t>was silent on</w:t>
      </w:r>
      <w:r w:rsidRPr="003F641B">
        <w:t xml:space="preserve"> the copyright status of government works. </w:t>
      </w:r>
      <w:r w:rsidR="008D0574" w:rsidRPr="003F641B">
        <w:t xml:space="preserve"> </w:t>
      </w:r>
      <w:r w:rsidR="00CE298C" w:rsidRPr="003F641B">
        <w:t xml:space="preserve">But the </w:t>
      </w:r>
      <w:r w:rsidR="006021BF" w:rsidRPr="003F641B">
        <w:t>realization that unrestricted application of copyright</w:t>
      </w:r>
      <w:r w:rsidR="002F7258" w:rsidRPr="003F641B">
        <w:t xml:space="preserve"> can </w:t>
      </w:r>
      <w:r w:rsidR="000A3CD9" w:rsidRPr="003F641B">
        <w:t>impinge on democratic processes</w:t>
      </w:r>
      <w:r w:rsidR="00040855" w:rsidRPr="003F641B">
        <w:t xml:space="preserve"> and</w:t>
      </w:r>
      <w:r w:rsidR="00772729" w:rsidRPr="003F641B">
        <w:t xml:space="preserve"> on</w:t>
      </w:r>
      <w:r w:rsidR="00040855" w:rsidRPr="003F641B">
        <w:t xml:space="preserve"> </w:t>
      </w:r>
      <w:r w:rsidR="006E0B69" w:rsidRPr="003F641B">
        <w:t>a well</w:t>
      </w:r>
      <w:r w:rsidR="00772729" w:rsidRPr="003F641B">
        <w:t>-</w:t>
      </w:r>
      <w:r w:rsidR="006E0B69" w:rsidRPr="003F641B">
        <w:t>functioning judiciary</w:t>
      </w:r>
      <w:r w:rsidR="006E633B" w:rsidRPr="003F641B">
        <w:t xml:space="preserve"> was there from the beginning</w:t>
      </w:r>
      <w:r w:rsidR="0052543C" w:rsidRPr="003F641B">
        <w:t>. It</w:t>
      </w:r>
      <w:r w:rsidR="00AC2641" w:rsidRPr="003F641B">
        <w:t xml:space="preserve"> informed subsequent revisions</w:t>
      </w:r>
      <w:r w:rsidR="006E633B" w:rsidRPr="003F641B">
        <w:t>.</w:t>
      </w:r>
      <w:r w:rsidR="00CE298C" w:rsidRPr="003F641B">
        <w:t xml:space="preserve"> </w:t>
      </w:r>
      <w:r w:rsidRPr="003F641B">
        <w:t>Th</w:t>
      </w:r>
      <w:r w:rsidR="006E633B" w:rsidRPr="003F641B">
        <w:t xml:space="preserve">us, </w:t>
      </w:r>
      <w:r w:rsidRPr="003F641B">
        <w:t>1928 Rome Act specifie</w:t>
      </w:r>
      <w:r w:rsidR="00AC2641" w:rsidRPr="003F641B">
        <w:t>s</w:t>
      </w:r>
      <w:r w:rsidRPr="003F641B">
        <w:t xml:space="preserve"> that </w:t>
      </w:r>
      <w:r w:rsidR="001034FD" w:rsidRPr="003F641B">
        <w:t>“</w:t>
      </w:r>
      <w:r w:rsidRPr="003F641B">
        <w:t>The right of partially or wholly excluding political speeches and speeches delivered in legal proceedings from the protection provided by the preceding Article is reserved for the domestic legislation of each country of the Union.</w:t>
      </w:r>
      <w:r w:rsidR="001034FD" w:rsidRPr="003F641B">
        <w:t>”</w:t>
      </w:r>
      <w:r w:rsidRPr="003F641B">
        <w:t xml:space="preserve"> (</w:t>
      </w:r>
      <w:r w:rsidR="001034FD" w:rsidRPr="003F641B">
        <w:t xml:space="preserve">Art </w:t>
      </w:r>
      <w:r w:rsidRPr="003F641B">
        <w:t xml:space="preserve">2bis (1) Rome Act, </w:t>
      </w:r>
      <w:r w:rsidR="008C0F5B" w:rsidRPr="003F641B">
        <w:t xml:space="preserve">maintained in </w:t>
      </w:r>
      <w:r w:rsidR="001034FD" w:rsidRPr="003F641B">
        <w:t xml:space="preserve">Art </w:t>
      </w:r>
      <w:r w:rsidRPr="003F641B">
        <w:t xml:space="preserve">2bis Paris Act). </w:t>
      </w:r>
      <w:r w:rsidR="00296906" w:rsidRPr="003F641B">
        <w:t xml:space="preserve">With respect to official texts generally, </w:t>
      </w:r>
      <w:r w:rsidR="004841CD" w:rsidRPr="003F641B">
        <w:t xml:space="preserve">the 1948 Brussels Act made explicit </w:t>
      </w:r>
      <w:r w:rsidRPr="003F641B">
        <w:t xml:space="preserve">the right of countries to </w:t>
      </w:r>
      <w:r w:rsidR="001034FD" w:rsidRPr="003F641B">
        <w:t>“</w:t>
      </w:r>
      <w:r w:rsidRPr="003F641B">
        <w:t>determine the protection to be granted to</w:t>
      </w:r>
      <w:r w:rsidRPr="003F641B">
        <w:rPr>
          <w:iCs/>
        </w:rPr>
        <w:t xml:space="preserve"> translations of</w:t>
      </w:r>
      <w:r w:rsidRPr="003F641B">
        <w:t xml:space="preserve"> official texts of a legislative, administrative and legal nature</w:t>
      </w:r>
      <w:r w:rsidR="001034FD" w:rsidRPr="003F641B">
        <w:t>”</w:t>
      </w:r>
      <w:r w:rsidR="004841CD" w:rsidRPr="003F641B">
        <w:t xml:space="preserve"> (</w:t>
      </w:r>
      <w:r w:rsidR="001034FD" w:rsidRPr="003F641B">
        <w:t xml:space="preserve">Art </w:t>
      </w:r>
      <w:r w:rsidR="007A0AA9" w:rsidRPr="003F641B">
        <w:t>2</w:t>
      </w:r>
      <w:r w:rsidR="00FB039B" w:rsidRPr="003F641B">
        <w:t>(2) Brussels Act).</w:t>
      </w:r>
      <w:r w:rsidRPr="003F641B">
        <w:t xml:space="preserve"> </w:t>
      </w:r>
      <w:r w:rsidR="009533DA" w:rsidRPr="003F641B">
        <w:t xml:space="preserve">Note that this article only speaks of translations. </w:t>
      </w:r>
      <w:r w:rsidRPr="003F641B">
        <w:t>The 1967 Stockholm Act broadened the provision to its current form, which is not limited to translations (</w:t>
      </w:r>
      <w:r w:rsidR="001034FD" w:rsidRPr="003F641B">
        <w:t xml:space="preserve">Art </w:t>
      </w:r>
      <w:r w:rsidRPr="003F641B">
        <w:t>2(4) Paris Act 1971).</w:t>
      </w:r>
    </w:p>
    <w:p w14:paraId="76A26F3A" w14:textId="77777777" w:rsidR="001B5770" w:rsidRPr="003F641B" w:rsidRDefault="001B5770" w:rsidP="001B5770">
      <w:pPr>
        <w:spacing w:after="160" w:line="259" w:lineRule="auto"/>
      </w:pPr>
    </w:p>
    <w:p w14:paraId="7308AC27" w14:textId="40BE5507" w:rsidR="00233B82" w:rsidRPr="003F641B" w:rsidRDefault="00233B82" w:rsidP="00233B82">
      <w:r w:rsidRPr="003F641B">
        <w:t xml:space="preserve">Under the current international regime, it is thus for states to decide whether they want to recognize copyright protection in official documents and speeches delivered in political or legal proceedings are public domain. One thing that is unclear, is how terms like ‘official texts’ must be read. What type of works does it include, from which branches of the public sector? And can it apply to works produced by foreign authorities? Especially relevant in this regard is that the Berne Convention technically only concerns the protection of works originating from </w:t>
      </w:r>
      <w:r w:rsidRPr="003F641B">
        <w:rPr>
          <w:i/>
        </w:rPr>
        <w:t>other</w:t>
      </w:r>
      <w:r w:rsidRPr="003F641B">
        <w:t xml:space="preserve"> union countries (Art 5(1) BC). It does not purport to regulate the </w:t>
      </w:r>
      <w:r w:rsidRPr="003F641B">
        <w:lastRenderedPageBreak/>
        <w:t>protection of domestic authors and works. This suggests that for their respective territories, states can exclude from protection official texts of foreign origin</w:t>
      </w:r>
      <w:r w:rsidR="008B002D">
        <w:t xml:space="preserve"> too</w:t>
      </w:r>
      <w:r w:rsidRPr="003F641B">
        <w:t>.</w:t>
      </w:r>
    </w:p>
    <w:p w14:paraId="3A1B1760" w14:textId="77777777" w:rsidR="00233B82" w:rsidRPr="003F641B" w:rsidRDefault="00233B82" w:rsidP="001B5770"/>
    <w:p w14:paraId="089F7861" w14:textId="0877723A" w:rsidR="001B5770" w:rsidRPr="003F641B" w:rsidRDefault="001B5770" w:rsidP="001B5770">
      <w:r w:rsidRPr="003F641B">
        <w:t xml:space="preserve">The WIPO Copyright treaty (WCT 1996) mandates that parties apply the provisions of Articles 2 to 6 of the Berne Convention – </w:t>
      </w:r>
      <w:r w:rsidR="001A67F9" w:rsidRPr="003F641B">
        <w:t>i.e.,</w:t>
      </w:r>
      <w:r w:rsidRPr="003F641B">
        <w:t xml:space="preserve"> also Article 4(</w:t>
      </w:r>
      <w:r w:rsidR="005550C5" w:rsidRPr="003F641B">
        <w:t xml:space="preserve">2) </w:t>
      </w:r>
      <w:r w:rsidR="00B73DEF">
        <w:softHyphen/>
      </w:r>
      <w:r w:rsidR="00B73DEF" w:rsidRPr="003F641B">
        <w:t>–</w:t>
      </w:r>
      <w:r w:rsidR="00B73DEF">
        <w:t xml:space="preserve"> </w:t>
      </w:r>
      <w:r w:rsidRPr="003F641B">
        <w:t xml:space="preserve"> in respect of the protection provided for by the WCT. This suggests that there is no obligation for states to safeguard for example a right of communication to the public in government works excluded from </w:t>
      </w:r>
      <w:r w:rsidR="00684CE3" w:rsidRPr="003F641B">
        <w:t>copyright or</w:t>
      </w:r>
      <w:r w:rsidRPr="003F641B">
        <w:t xml:space="preserve"> protect government databases or software under copyright.</w:t>
      </w:r>
    </w:p>
    <w:p w14:paraId="44103D5D" w14:textId="77777777" w:rsidR="00233B82" w:rsidRPr="003F641B" w:rsidRDefault="00233B82" w:rsidP="001B5770"/>
    <w:p w14:paraId="68D9D277" w14:textId="6A053EAB" w:rsidR="001B5770" w:rsidRPr="003F641B" w:rsidRDefault="001B5770" w:rsidP="001B5770">
      <w:r w:rsidRPr="003F641B">
        <w:t xml:space="preserve">The treaties in the field of neighbouring rights are silent on the status of protected subject matter produced by public sector bodies and public officials. Presumably, whether sound recordings, first fixations of film, broadcasts etc. attract intellectual property is not dependent on whether the initial owner is a private sector or public sector entity. Traditional neighbouring rights, like rights in phonograms and (music) performances, attach to subject-matter that is not normally created by public sector </w:t>
      </w:r>
      <w:r w:rsidR="00684CE3" w:rsidRPr="003F641B">
        <w:t>bodies,</w:t>
      </w:r>
      <w:r w:rsidRPr="003F641B">
        <w:t xml:space="preserve"> so it is not surprising that the international instruments do not address ‘official recordings’.</w:t>
      </w:r>
      <w:r w:rsidRPr="003F641B">
        <w:rPr>
          <w:rStyle w:val="FootnoteReference"/>
        </w:rPr>
        <w:t xml:space="preserve"> </w:t>
      </w:r>
      <w:r w:rsidRPr="003F641B">
        <w:rPr>
          <w:rStyle w:val="FootnoteReference"/>
        </w:rPr>
        <w:footnoteReference w:id="19"/>
      </w:r>
      <w:r w:rsidRPr="003F641B">
        <w:t xml:space="preserve"> Public sector broadcasting is perhaps the exception</w:t>
      </w:r>
      <w:r w:rsidR="009C670C" w:rsidRPr="003F641B">
        <w:t xml:space="preserve">. </w:t>
      </w:r>
      <w:r w:rsidRPr="003F641B">
        <w:t xml:space="preserve">Of note, the definition used in international treaties of what </w:t>
      </w:r>
      <w:r w:rsidR="0020713A" w:rsidRPr="003F641B">
        <w:t>constitutes</w:t>
      </w:r>
      <w:r w:rsidRPr="003F641B">
        <w:t xml:space="preserve"> a recording is so broad that it can in fact include sound recordings (not of music or other performances, but of ‘other sounds’) made by government.</w:t>
      </w:r>
      <w:r w:rsidRPr="003F641B">
        <w:rPr>
          <w:rStyle w:val="FootnoteReference"/>
        </w:rPr>
        <w:footnoteReference w:id="20"/>
      </w:r>
    </w:p>
    <w:p w14:paraId="2714F853" w14:textId="77777777" w:rsidR="00A54D05" w:rsidRPr="003F641B" w:rsidRDefault="00A54D05" w:rsidP="00DC3B4B"/>
    <w:p w14:paraId="686B5327" w14:textId="2C719341" w:rsidR="00911524" w:rsidRPr="003F641B" w:rsidRDefault="007D00BA" w:rsidP="00DC3B4B">
      <w:r w:rsidRPr="003F641B">
        <w:t>In sum, the international copyright framework seems to leave ample room for</w:t>
      </w:r>
      <w:r w:rsidR="008659D9" w:rsidRPr="003F641B">
        <w:t xml:space="preserve"> diversity, and </w:t>
      </w:r>
      <w:r w:rsidR="00777455" w:rsidRPr="003F641B">
        <w:t xml:space="preserve">from a </w:t>
      </w:r>
      <w:r w:rsidR="00FE029E" w:rsidRPr="003F641B">
        <w:t>treaty</w:t>
      </w:r>
      <w:r w:rsidR="00777455" w:rsidRPr="003F641B">
        <w:t xml:space="preserve"> perspective nothing has changed in the past few decades</w:t>
      </w:r>
      <w:r w:rsidR="003F0A87" w:rsidRPr="003F641B">
        <w:t xml:space="preserve"> with respect to the protection of public sector information</w:t>
      </w:r>
      <w:r w:rsidR="003745E0" w:rsidRPr="003F641B">
        <w:t xml:space="preserve"> by copyright and related rights.</w:t>
      </w:r>
    </w:p>
    <w:p w14:paraId="38033EBA" w14:textId="77777777" w:rsidR="003745E0" w:rsidRPr="003F641B" w:rsidRDefault="003745E0" w:rsidP="00DC3B4B"/>
    <w:p w14:paraId="7AA74466" w14:textId="32EE43CE" w:rsidR="001F0EE1" w:rsidRPr="003F641B" w:rsidRDefault="008D07BF" w:rsidP="008D07BF">
      <w:pPr>
        <w:rPr>
          <w:b/>
          <w:bCs/>
        </w:rPr>
      </w:pPr>
      <w:r w:rsidRPr="003F641B">
        <w:rPr>
          <w:b/>
          <w:bCs/>
        </w:rPr>
        <w:t xml:space="preserve">4.2 </w:t>
      </w:r>
      <w:r w:rsidR="001F0EE1" w:rsidRPr="003F641B">
        <w:rPr>
          <w:b/>
          <w:bCs/>
        </w:rPr>
        <w:t>National examples</w:t>
      </w:r>
    </w:p>
    <w:p w14:paraId="7744C238" w14:textId="77777777" w:rsidR="00E35208" w:rsidRPr="003F641B" w:rsidRDefault="00E35208" w:rsidP="008D07BF">
      <w:pPr>
        <w:rPr>
          <w:b/>
          <w:bCs/>
        </w:rPr>
      </w:pPr>
    </w:p>
    <w:p w14:paraId="3456A545" w14:textId="77777777" w:rsidR="00C91C20" w:rsidRPr="003F641B" w:rsidRDefault="003745E0" w:rsidP="00653F3C">
      <w:r w:rsidRPr="003F641B">
        <w:t xml:space="preserve">The stasis at the international level is mirrored by stasis at national level. </w:t>
      </w:r>
      <w:r w:rsidR="00E94D71" w:rsidRPr="003F641B">
        <w:t xml:space="preserve">Although a lot </w:t>
      </w:r>
      <w:r w:rsidR="003230E8" w:rsidRPr="003F641B">
        <w:t>has been happening</w:t>
      </w:r>
      <w:r w:rsidR="00D042F0" w:rsidRPr="003F641B">
        <w:t xml:space="preserve"> in the field of policies that promote opening up and allowing re-use of </w:t>
      </w:r>
      <w:r w:rsidR="00C90A64" w:rsidRPr="003F641B">
        <w:t xml:space="preserve">public sector information, this has not translated into changes in intellectual property law as such. A couple of examples show </w:t>
      </w:r>
      <w:r w:rsidR="00235F2D" w:rsidRPr="003F641B">
        <w:t xml:space="preserve">the diversity in copyright acts that is still there. </w:t>
      </w:r>
      <w:r w:rsidR="00DA7677" w:rsidRPr="003F641B">
        <w:t>The U.S. are famed for excluding copyright in works produced by</w:t>
      </w:r>
      <w:r w:rsidR="00FB0B04" w:rsidRPr="003F641B">
        <w:t xml:space="preserve"> </w:t>
      </w:r>
      <w:r w:rsidR="00045935" w:rsidRPr="003F641B">
        <w:t xml:space="preserve">officers and employees of </w:t>
      </w:r>
      <w:r w:rsidR="00FB0B04" w:rsidRPr="003F641B">
        <w:t>the federal government. Nor can judges or</w:t>
      </w:r>
      <w:r w:rsidR="00A87699" w:rsidRPr="003F641B">
        <w:t xml:space="preserve"> lawmakers claim copyright. By contrast, the U.K. have long had a system </w:t>
      </w:r>
      <w:r w:rsidR="002E038A" w:rsidRPr="003F641B">
        <w:t xml:space="preserve">of so-called ‘Crown copyright’ and ‘Parliamentary copyright’ </w:t>
      </w:r>
      <w:r w:rsidR="00245C22" w:rsidRPr="003F641B">
        <w:t xml:space="preserve">which means that </w:t>
      </w:r>
      <w:r w:rsidR="00A1116C" w:rsidRPr="003F641B">
        <w:t xml:space="preserve">any rights in </w:t>
      </w:r>
      <w:r w:rsidR="00245C22" w:rsidRPr="003F641B">
        <w:t>material produced by civil servants, ministers</w:t>
      </w:r>
      <w:r w:rsidR="001C191D" w:rsidRPr="003F641B">
        <w:t>,</w:t>
      </w:r>
      <w:r w:rsidR="00245C22" w:rsidRPr="003F641B">
        <w:t xml:space="preserve"> government departments</w:t>
      </w:r>
      <w:r w:rsidR="00C468AB" w:rsidRPr="003F641B">
        <w:t>,</w:t>
      </w:r>
      <w:r w:rsidR="00245C22" w:rsidRPr="003F641B">
        <w:t xml:space="preserve"> agencies in the course of their work</w:t>
      </w:r>
      <w:r w:rsidR="00653F3C" w:rsidRPr="003F641B">
        <w:t xml:space="preserve">, and </w:t>
      </w:r>
      <w:r w:rsidR="00A1116C" w:rsidRPr="003F641B">
        <w:t xml:space="preserve">in materials </w:t>
      </w:r>
      <w:r w:rsidR="00653F3C" w:rsidRPr="003F641B">
        <w:t>made by or under the</w:t>
      </w:r>
      <w:r w:rsidR="00A1116C" w:rsidRPr="003F641B">
        <w:t xml:space="preserve"> </w:t>
      </w:r>
      <w:r w:rsidR="00653F3C" w:rsidRPr="003F641B">
        <w:t>direction or control of</w:t>
      </w:r>
      <w:r w:rsidR="00A1116C" w:rsidRPr="003F641B">
        <w:t xml:space="preserve"> parliam</w:t>
      </w:r>
      <w:r w:rsidR="00FE0B16" w:rsidRPr="003F641B">
        <w:t xml:space="preserve">ent rests with the </w:t>
      </w:r>
      <w:r w:rsidR="00DF7029" w:rsidRPr="003F641B">
        <w:t>State respectively parliament.</w:t>
      </w:r>
      <w:r w:rsidR="00E01779" w:rsidRPr="003F641B">
        <w:t xml:space="preserve"> </w:t>
      </w:r>
    </w:p>
    <w:p w14:paraId="0B221AA9" w14:textId="77777777" w:rsidR="00C91C20" w:rsidRPr="003F641B" w:rsidRDefault="00C91C20" w:rsidP="00653F3C"/>
    <w:p w14:paraId="77739168" w14:textId="063F0BFE" w:rsidR="00FB0B04" w:rsidRPr="003F641B" w:rsidRDefault="00D72B84" w:rsidP="00653F3C">
      <w:r w:rsidRPr="003F641B">
        <w:t>In continental Europe, the Italian copyright act excludes copyright in official acts of state and of public administrations</w:t>
      </w:r>
      <w:r w:rsidR="00D431BB" w:rsidRPr="003F641B">
        <w:t xml:space="preserve"> including judicial decisions</w:t>
      </w:r>
      <w:r w:rsidRPr="003F641B">
        <w:t>, and this</w:t>
      </w:r>
      <w:r w:rsidR="007B47F8" w:rsidRPr="003F641B">
        <w:t xml:space="preserve"> applies to both Italian and foreign authorities. </w:t>
      </w:r>
      <w:r w:rsidR="00D431BB" w:rsidRPr="003F641B">
        <w:t xml:space="preserve">When </w:t>
      </w:r>
      <w:r w:rsidR="001B5438" w:rsidRPr="003F641B">
        <w:t xml:space="preserve">the State, regional or local authorities </w:t>
      </w:r>
      <w:r w:rsidR="00D40C3E" w:rsidRPr="003F641B">
        <w:t xml:space="preserve">commission the creation of </w:t>
      </w:r>
      <w:r w:rsidR="001B5438" w:rsidRPr="003F641B">
        <w:t>works and publish them, they are presumed to own any copyright in said works</w:t>
      </w:r>
      <w:r w:rsidR="008F652C" w:rsidRPr="003F641B">
        <w:t xml:space="preserve"> (see National report Italy)</w:t>
      </w:r>
      <w:r w:rsidR="001B5438" w:rsidRPr="003F641B">
        <w:t>.</w:t>
      </w:r>
      <w:r w:rsidR="001877C2" w:rsidRPr="003F641B">
        <w:t xml:space="preserve"> The implementation of </w:t>
      </w:r>
      <w:r w:rsidR="005245C9" w:rsidRPr="003F641B">
        <w:t xml:space="preserve">EU directives on re-use of public sector information in Italy has not resulted in </w:t>
      </w:r>
      <w:r w:rsidR="000E5112" w:rsidRPr="003F641B">
        <w:t>explicit</w:t>
      </w:r>
      <w:r w:rsidR="00F90124" w:rsidRPr="003F641B">
        <w:t xml:space="preserve"> coordination of copyright and re-use rules</w:t>
      </w:r>
      <w:r w:rsidR="00CC68F9" w:rsidRPr="003F641B">
        <w:t xml:space="preserve">. This is also true in for example The Netherlands. </w:t>
      </w:r>
      <w:r w:rsidR="007B47F8" w:rsidRPr="003F641B">
        <w:t xml:space="preserve">The Dutch copyright act </w:t>
      </w:r>
      <w:r w:rsidR="00726E4A" w:rsidRPr="003F641B">
        <w:t xml:space="preserve">excludes copyright in laws, administrative decisions and court </w:t>
      </w:r>
      <w:r w:rsidR="006F3138" w:rsidRPr="003F641B">
        <w:t xml:space="preserve">decisions and </w:t>
      </w:r>
      <w:r w:rsidR="00726E4A" w:rsidRPr="003F641B">
        <w:t xml:space="preserve">judgments. </w:t>
      </w:r>
      <w:r w:rsidR="006F3138" w:rsidRPr="003F641B">
        <w:t>The u</w:t>
      </w:r>
      <w:r w:rsidR="00726E4A" w:rsidRPr="003F641B">
        <w:t xml:space="preserve">se of other </w:t>
      </w:r>
      <w:r w:rsidR="006F3138" w:rsidRPr="003F641B">
        <w:t xml:space="preserve">works made public by or on behalf of </w:t>
      </w:r>
      <w:r w:rsidR="006C7E03" w:rsidRPr="003F641B">
        <w:t xml:space="preserve">public authorities is </w:t>
      </w:r>
      <w:r w:rsidR="001E6D8A" w:rsidRPr="003F641B">
        <w:t>free unless</w:t>
      </w:r>
      <w:r w:rsidR="00726E4A" w:rsidRPr="003F641B">
        <w:t xml:space="preserve"> rights </w:t>
      </w:r>
      <w:r w:rsidR="006C7E03" w:rsidRPr="003F641B">
        <w:t xml:space="preserve">have been explicitly </w:t>
      </w:r>
      <w:r w:rsidR="00726E4A" w:rsidRPr="003F641B">
        <w:t xml:space="preserve">reserved. </w:t>
      </w:r>
      <w:r w:rsidR="006C7E03" w:rsidRPr="003F641B">
        <w:t>This dual system</w:t>
      </w:r>
      <w:r w:rsidR="00D106EE" w:rsidRPr="003F641B">
        <w:t xml:space="preserve"> has gone unchanged since</w:t>
      </w:r>
      <w:r w:rsidR="00726E4A" w:rsidRPr="003F641B">
        <w:t xml:space="preserve"> 1912</w:t>
      </w:r>
      <w:r w:rsidR="00D106EE" w:rsidRPr="003F641B">
        <w:t xml:space="preserve">, already the </w:t>
      </w:r>
      <w:r w:rsidR="00726E4A" w:rsidRPr="003F641B">
        <w:t xml:space="preserve">1881 copyright </w:t>
      </w:r>
      <w:r w:rsidR="00D106EE" w:rsidRPr="003F641B">
        <w:t xml:space="preserve">act </w:t>
      </w:r>
      <w:r w:rsidR="00726E4A" w:rsidRPr="003F641B">
        <w:t xml:space="preserve">had </w:t>
      </w:r>
      <w:r w:rsidR="00D106EE" w:rsidRPr="003F641B">
        <w:t xml:space="preserve">a </w:t>
      </w:r>
      <w:r w:rsidR="00726E4A" w:rsidRPr="003F641B">
        <w:t>similar provision.</w:t>
      </w:r>
      <w:r w:rsidR="00CC68F9" w:rsidRPr="003F641B">
        <w:t xml:space="preserve"> The</w:t>
      </w:r>
      <w:r w:rsidR="00415614" w:rsidRPr="003F641B">
        <w:t xml:space="preserve"> EU instruments on re-use have been implemented in separate acts and have not led to changes in the </w:t>
      </w:r>
      <w:r w:rsidR="0020713A" w:rsidRPr="003F641B">
        <w:t>copyright</w:t>
      </w:r>
      <w:r w:rsidR="00415614" w:rsidRPr="003F641B">
        <w:t xml:space="preserve"> act itself.</w:t>
      </w:r>
      <w:r w:rsidR="00565A4F" w:rsidRPr="003F641B">
        <w:t xml:space="preserve"> The question is </w:t>
      </w:r>
      <w:r w:rsidR="0020713A" w:rsidRPr="003F641B">
        <w:t>of course</w:t>
      </w:r>
      <w:r w:rsidR="00565A4F" w:rsidRPr="003F641B">
        <w:t xml:space="preserve"> </w:t>
      </w:r>
      <w:r w:rsidR="000051B4" w:rsidRPr="003F641B">
        <w:t>whether</w:t>
      </w:r>
      <w:r w:rsidR="00565A4F" w:rsidRPr="003F641B">
        <w:t xml:space="preserve"> such a lack of coordination</w:t>
      </w:r>
      <w:r w:rsidR="007B25C7" w:rsidRPr="003F641B">
        <w:t xml:space="preserve"> is problematic. T</w:t>
      </w:r>
      <w:r w:rsidR="00553780" w:rsidRPr="003F641B">
        <w:t>o the question what</w:t>
      </w:r>
      <w:r w:rsidR="006775DB" w:rsidRPr="003F641B">
        <w:t xml:space="preserve"> might need to be done and what could be done</w:t>
      </w:r>
      <w:r w:rsidR="00C7212D" w:rsidRPr="003F641B">
        <w:t xml:space="preserve"> we now turn, focussing once more on the international level.</w:t>
      </w:r>
      <w:r w:rsidR="006775DB" w:rsidRPr="003F641B">
        <w:t xml:space="preserve"> </w:t>
      </w:r>
    </w:p>
    <w:p w14:paraId="41CC7E49" w14:textId="77777777" w:rsidR="008205F9" w:rsidRPr="003F641B" w:rsidRDefault="008205F9" w:rsidP="00653F3C"/>
    <w:p w14:paraId="15644E35" w14:textId="77777777" w:rsidR="00B2594D" w:rsidRPr="003F641B" w:rsidRDefault="00B2594D" w:rsidP="00B2594D">
      <w:pPr>
        <w:spacing w:line="240" w:lineRule="auto"/>
        <w:ind w:left="360"/>
        <w:rPr>
          <w:rFonts w:cs="Times New Roman"/>
          <w:highlight w:val="yellow"/>
        </w:rPr>
      </w:pPr>
    </w:p>
    <w:p w14:paraId="2B3F6849" w14:textId="77777777" w:rsidR="00AE4782" w:rsidRPr="003F641B" w:rsidRDefault="00AE4782" w:rsidP="00AE4782">
      <w:pPr>
        <w:pStyle w:val="Heading1"/>
      </w:pPr>
      <w:r w:rsidRPr="003F641B">
        <w:t>Going forward</w:t>
      </w:r>
    </w:p>
    <w:p w14:paraId="6E3A4D0C" w14:textId="77777777" w:rsidR="00E31260" w:rsidRPr="003F641B" w:rsidRDefault="00E31260" w:rsidP="00E31260"/>
    <w:p w14:paraId="6299D5A4" w14:textId="2A332FF7" w:rsidR="00E31260" w:rsidRPr="003F641B" w:rsidRDefault="00E31260" w:rsidP="00E31260">
      <w:pPr>
        <w:rPr>
          <w:rFonts w:cs="Times New Roman"/>
        </w:rPr>
      </w:pPr>
      <w:r w:rsidRPr="003F641B">
        <w:t xml:space="preserve">To sum up where we are: </w:t>
      </w:r>
      <w:r w:rsidRPr="003F641B">
        <w:rPr>
          <w:rFonts w:cs="Times New Roman"/>
        </w:rPr>
        <w:t xml:space="preserve">on the one hand we see rapid global development towards more access to public sector information and towards making reuse for all kinds of commercial and non-commercial purposes easier. This is informed by considerations of democratic accountability and participation, better public service delivery and the development of new information products and services. On the other </w:t>
      </w:r>
      <w:r w:rsidR="00DF1368" w:rsidRPr="003F641B">
        <w:rPr>
          <w:rFonts w:cs="Times New Roman"/>
        </w:rPr>
        <w:t>hand,</w:t>
      </w:r>
      <w:r w:rsidRPr="003F641B">
        <w:rPr>
          <w:rFonts w:cs="Times New Roman"/>
        </w:rPr>
        <w:t xml:space="preserve"> we have traditional copyright norms </w:t>
      </w:r>
      <w:r w:rsidR="00456A44">
        <w:rPr>
          <w:rFonts w:cs="Times New Roman"/>
        </w:rPr>
        <w:t>that apply to</w:t>
      </w:r>
      <w:r w:rsidRPr="003F641B">
        <w:rPr>
          <w:rFonts w:cs="Times New Roman"/>
        </w:rPr>
        <w:t xml:space="preserve"> public sector information</w:t>
      </w:r>
      <w:r w:rsidR="00456A44">
        <w:rPr>
          <w:rFonts w:cs="Times New Roman"/>
        </w:rPr>
        <w:t xml:space="preserve"> essentially on the same terms as to other types of </w:t>
      </w:r>
      <w:r w:rsidR="00307AA8">
        <w:rPr>
          <w:rFonts w:cs="Times New Roman"/>
        </w:rPr>
        <w:t>works and protected subject-matter</w:t>
      </w:r>
      <w:r w:rsidRPr="003F641B">
        <w:rPr>
          <w:rFonts w:cs="Times New Roman"/>
        </w:rPr>
        <w:t xml:space="preserve">. And unless states make explicit choices otherwise, in principle the expansion of copyright and related rights in </w:t>
      </w:r>
      <w:r w:rsidR="00DF1368" w:rsidRPr="003F641B">
        <w:rPr>
          <w:rFonts w:cs="Times New Roman"/>
        </w:rPr>
        <w:t>e.g.,</w:t>
      </w:r>
      <w:r w:rsidRPr="003F641B">
        <w:rPr>
          <w:rFonts w:cs="Times New Roman"/>
        </w:rPr>
        <w:t xml:space="preserve"> exploitation rights, term of protection, liabilities for infringement will apply to public sector information (whether as works or other protected subject-matter) as much as to other subject matter. This means that the potential for friction between access, re-use and intellectual property grows. </w:t>
      </w:r>
    </w:p>
    <w:p w14:paraId="23C1F327" w14:textId="77777777" w:rsidR="00E31260" w:rsidRPr="003F641B" w:rsidRDefault="00E31260" w:rsidP="00AE4782"/>
    <w:p w14:paraId="575C31B7" w14:textId="21EA4DC1" w:rsidR="000B1567" w:rsidRPr="003F641B" w:rsidRDefault="002E5F0E" w:rsidP="00D47DDF">
      <w:pPr>
        <w:rPr>
          <w:rFonts w:cs="Times New Roman"/>
        </w:rPr>
      </w:pPr>
      <w:r w:rsidRPr="003F641B">
        <w:t>Must something be done?</w:t>
      </w:r>
      <w:r w:rsidR="006D2DE2" w:rsidRPr="003F641B">
        <w:t xml:space="preserve"> </w:t>
      </w:r>
      <w:r w:rsidR="00E86B61" w:rsidRPr="003F641B">
        <w:rPr>
          <w:rFonts w:cs="Times New Roman"/>
        </w:rPr>
        <w:t>In light of the de</w:t>
      </w:r>
      <w:r w:rsidR="0047315B" w:rsidRPr="003F641B">
        <w:rPr>
          <w:rFonts w:cs="Times New Roman"/>
        </w:rPr>
        <w:t>velopments sketched above it seems pertinent that at least the topic of interplay between intellectual property and</w:t>
      </w:r>
      <w:r w:rsidR="00926B25" w:rsidRPr="003F641B">
        <w:rPr>
          <w:rFonts w:cs="Times New Roman"/>
        </w:rPr>
        <w:t xml:space="preserve"> public sector information is put more squarely on the </w:t>
      </w:r>
      <w:r w:rsidR="00DF1368" w:rsidRPr="003F641B">
        <w:rPr>
          <w:rFonts w:cs="Times New Roman"/>
        </w:rPr>
        <w:t>agendas</w:t>
      </w:r>
      <w:r w:rsidR="00926B25" w:rsidRPr="003F641B">
        <w:rPr>
          <w:rFonts w:cs="Times New Roman"/>
        </w:rPr>
        <w:t xml:space="preserve"> of relevant regional and international policymaking</w:t>
      </w:r>
      <w:r w:rsidR="0030362B" w:rsidRPr="003F641B">
        <w:rPr>
          <w:rFonts w:cs="Times New Roman"/>
        </w:rPr>
        <w:t xml:space="preserve"> organizations. </w:t>
      </w:r>
      <w:r w:rsidR="00896FFE" w:rsidRPr="003F641B">
        <w:rPr>
          <w:rFonts w:cs="Times New Roman"/>
        </w:rPr>
        <w:t>Considering the existing international copyright framework, one could adopt one of three possible approaches</w:t>
      </w:r>
      <w:r w:rsidR="00052A8E" w:rsidRPr="003F641B">
        <w:rPr>
          <w:rFonts w:cs="Times New Roman"/>
        </w:rPr>
        <w:t xml:space="preserve">. </w:t>
      </w:r>
    </w:p>
    <w:p w14:paraId="2D4B98D2" w14:textId="77777777" w:rsidR="000B1567" w:rsidRPr="003F641B" w:rsidRDefault="000B1567" w:rsidP="00D47DDF">
      <w:pPr>
        <w:rPr>
          <w:rFonts w:cs="Times New Roman"/>
        </w:rPr>
      </w:pPr>
    </w:p>
    <w:p w14:paraId="52748D7E" w14:textId="50B012ED" w:rsidR="000B1567" w:rsidRPr="003F641B" w:rsidRDefault="00052A8E" w:rsidP="00D47DDF">
      <w:pPr>
        <w:rPr>
          <w:rFonts w:cs="Times New Roman"/>
        </w:rPr>
      </w:pPr>
      <w:r w:rsidRPr="003F641B">
        <w:rPr>
          <w:rFonts w:cs="Times New Roman"/>
        </w:rPr>
        <w:t>The first focuses on self-regulation through licensing</w:t>
      </w:r>
      <w:r w:rsidR="005162A3" w:rsidRPr="003F641B">
        <w:rPr>
          <w:rFonts w:cs="Times New Roman"/>
        </w:rPr>
        <w:t xml:space="preserve">. If the problem analysis is such that the </w:t>
      </w:r>
      <w:r w:rsidR="00045123" w:rsidRPr="003F641B">
        <w:rPr>
          <w:rFonts w:cs="Times New Roman"/>
        </w:rPr>
        <w:t>lack of clarity on how copyright</w:t>
      </w:r>
      <w:r w:rsidR="00350EA8" w:rsidRPr="003F641B">
        <w:rPr>
          <w:rFonts w:cs="Times New Roman"/>
        </w:rPr>
        <w:t xml:space="preserve"> </w:t>
      </w:r>
      <w:r w:rsidR="0020713A" w:rsidRPr="003F641B">
        <w:rPr>
          <w:rFonts w:cs="Times New Roman"/>
        </w:rPr>
        <w:t>accommodates</w:t>
      </w:r>
      <w:r w:rsidR="00350EA8" w:rsidRPr="003F641B">
        <w:rPr>
          <w:rFonts w:cs="Times New Roman"/>
        </w:rPr>
        <w:t xml:space="preserve"> rights to access and re-use public sector information is not felt to be</w:t>
      </w:r>
      <w:r w:rsidR="00E52C54" w:rsidRPr="003F641B">
        <w:rPr>
          <w:rFonts w:cs="Times New Roman"/>
        </w:rPr>
        <w:t xml:space="preserve"> problem</w:t>
      </w:r>
      <w:r w:rsidR="009B3F7D">
        <w:rPr>
          <w:rFonts w:cs="Times New Roman"/>
        </w:rPr>
        <w:t xml:space="preserve"> so significant that it warrants regulatory intervention</w:t>
      </w:r>
      <w:r w:rsidR="00E52C54" w:rsidRPr="003F641B">
        <w:rPr>
          <w:rFonts w:cs="Times New Roman"/>
        </w:rPr>
        <w:t xml:space="preserve">, then it makes sense to focus on </w:t>
      </w:r>
      <w:r w:rsidR="00D53E59" w:rsidRPr="003F641B">
        <w:rPr>
          <w:rFonts w:cs="Times New Roman"/>
        </w:rPr>
        <w:t xml:space="preserve">the use of open licensing as a tool to enable </w:t>
      </w:r>
      <w:r w:rsidR="0068466C" w:rsidRPr="003F641B">
        <w:rPr>
          <w:rFonts w:cs="Times New Roman"/>
        </w:rPr>
        <w:t>better access and re-use. This approach presupposes that it is generally clear when</w:t>
      </w:r>
      <w:r w:rsidR="00CF0357" w:rsidRPr="003F641B">
        <w:rPr>
          <w:rFonts w:cs="Times New Roman"/>
        </w:rPr>
        <w:t xml:space="preserve"> information held by the </w:t>
      </w:r>
      <w:r w:rsidR="00CF0357" w:rsidRPr="003F641B">
        <w:rPr>
          <w:rFonts w:cs="Times New Roman"/>
        </w:rPr>
        <w:lastRenderedPageBreak/>
        <w:t xml:space="preserve">public sector is subject to copyright or related rights, and that it is also clear who owns such rights. </w:t>
      </w:r>
    </w:p>
    <w:p w14:paraId="287637CB" w14:textId="77777777" w:rsidR="000B1567" w:rsidRPr="003F641B" w:rsidRDefault="000B1567" w:rsidP="00D47DDF">
      <w:pPr>
        <w:rPr>
          <w:rFonts w:cs="Times New Roman"/>
        </w:rPr>
      </w:pPr>
    </w:p>
    <w:p w14:paraId="79FB925E" w14:textId="19879E90" w:rsidR="000B1567" w:rsidRPr="003F641B" w:rsidRDefault="00CF0357" w:rsidP="00D47DDF">
      <w:pPr>
        <w:rPr>
          <w:rFonts w:cs="Times New Roman"/>
        </w:rPr>
      </w:pPr>
      <w:r w:rsidRPr="003F641B">
        <w:rPr>
          <w:rFonts w:cs="Times New Roman"/>
        </w:rPr>
        <w:t>A second approach would be to try and arrive at a</w:t>
      </w:r>
      <w:r w:rsidR="005E67A4" w:rsidRPr="003F641B">
        <w:rPr>
          <w:rFonts w:cs="Times New Roman"/>
        </w:rPr>
        <w:t xml:space="preserve"> special provision for public sector information in </w:t>
      </w:r>
      <w:r w:rsidR="007545F5" w:rsidRPr="003F641B">
        <w:rPr>
          <w:rFonts w:cs="Times New Roman"/>
        </w:rPr>
        <w:t xml:space="preserve">(a modification of) in international copyright law. For example, </w:t>
      </w:r>
      <w:r w:rsidR="0003278A" w:rsidRPr="003F641B">
        <w:rPr>
          <w:rFonts w:cs="Times New Roman"/>
        </w:rPr>
        <w:t>certain categories of information that are essential in any country based on the rule of law could be exempted from</w:t>
      </w:r>
      <w:r w:rsidR="00215AD6" w:rsidRPr="003F641B">
        <w:rPr>
          <w:rFonts w:cs="Times New Roman"/>
        </w:rPr>
        <w:t xml:space="preserve"> copyright so that such information would be part of the public domain. </w:t>
      </w:r>
      <w:r w:rsidR="00DF1368" w:rsidRPr="003F641B">
        <w:rPr>
          <w:rFonts w:cs="Times New Roman"/>
        </w:rPr>
        <w:t>Certainly,</w:t>
      </w:r>
      <w:r w:rsidR="00FA0F7D" w:rsidRPr="003F641B">
        <w:rPr>
          <w:rFonts w:cs="Times New Roman"/>
        </w:rPr>
        <w:t xml:space="preserve"> all manner of legislation, court decisions and administrative decisions </w:t>
      </w:r>
      <w:r w:rsidR="007E3BED" w:rsidRPr="003F641B">
        <w:rPr>
          <w:rFonts w:cs="Times New Roman"/>
        </w:rPr>
        <w:t xml:space="preserve">are clear candidates for such </w:t>
      </w:r>
      <w:r w:rsidR="005011CF" w:rsidRPr="003F641B">
        <w:rPr>
          <w:rFonts w:cs="Times New Roman"/>
        </w:rPr>
        <w:t>exclusion</w:t>
      </w:r>
      <w:r w:rsidR="00883796" w:rsidRPr="003F641B">
        <w:rPr>
          <w:rFonts w:cs="Times New Roman"/>
        </w:rPr>
        <w:t>, as are parliamentary records</w:t>
      </w:r>
      <w:r w:rsidR="00D47DDF" w:rsidRPr="003F641B">
        <w:rPr>
          <w:rFonts w:cs="Times New Roman"/>
        </w:rPr>
        <w:t xml:space="preserve"> and</w:t>
      </w:r>
      <w:r w:rsidR="00883796" w:rsidRPr="003F641B">
        <w:rPr>
          <w:rFonts w:cs="Times New Roman"/>
        </w:rPr>
        <w:t xml:space="preserve"> electoral records</w:t>
      </w:r>
      <w:r w:rsidR="005011CF" w:rsidRPr="003F641B">
        <w:rPr>
          <w:rFonts w:cs="Times New Roman"/>
        </w:rPr>
        <w:t xml:space="preserve">. An exemption for </w:t>
      </w:r>
      <w:r w:rsidR="00D47DDF" w:rsidRPr="003F641B">
        <w:rPr>
          <w:rFonts w:cs="Times New Roman"/>
        </w:rPr>
        <w:t xml:space="preserve">such categories of </w:t>
      </w:r>
      <w:r w:rsidR="005011CF" w:rsidRPr="003F641B">
        <w:rPr>
          <w:rFonts w:cs="Times New Roman"/>
        </w:rPr>
        <w:t xml:space="preserve">key information could be coupled with </w:t>
      </w:r>
      <w:r w:rsidR="005658F9" w:rsidRPr="003F641B">
        <w:rPr>
          <w:rFonts w:cs="Times New Roman"/>
        </w:rPr>
        <w:t xml:space="preserve">a </w:t>
      </w:r>
      <w:r w:rsidR="00F6610E" w:rsidRPr="003F641B">
        <w:rPr>
          <w:rFonts w:cs="Times New Roman"/>
        </w:rPr>
        <w:t xml:space="preserve">less far-reaching </w:t>
      </w:r>
      <w:r w:rsidR="003F4237" w:rsidRPr="003F641B">
        <w:rPr>
          <w:rFonts w:cs="Times New Roman"/>
        </w:rPr>
        <w:t xml:space="preserve">regime for other information held by public sector bodies, </w:t>
      </w:r>
      <w:r w:rsidR="0097469C" w:rsidRPr="003F641B">
        <w:rPr>
          <w:rFonts w:cs="Times New Roman"/>
        </w:rPr>
        <w:t>aimed at maximizing access and re-use while safeguarding legitimate</w:t>
      </w:r>
      <w:r w:rsidR="008145D9" w:rsidRPr="003F641B">
        <w:rPr>
          <w:rFonts w:cs="Times New Roman"/>
        </w:rPr>
        <w:t xml:space="preserve"> public or private interests in protection. </w:t>
      </w:r>
      <w:r w:rsidR="00567ABA" w:rsidRPr="003F641B">
        <w:rPr>
          <w:rFonts w:cs="Times New Roman"/>
        </w:rPr>
        <w:t xml:space="preserve">Naturally, a </w:t>
      </w:r>
      <w:r w:rsidR="00597BCC" w:rsidRPr="003F641B">
        <w:rPr>
          <w:rFonts w:cs="Times New Roman"/>
        </w:rPr>
        <w:t xml:space="preserve">more </w:t>
      </w:r>
      <w:r w:rsidR="008C1A30" w:rsidRPr="003F641B">
        <w:rPr>
          <w:rFonts w:cs="Times New Roman"/>
        </w:rPr>
        <w:t>extensive</w:t>
      </w:r>
      <w:r w:rsidR="004723E4" w:rsidRPr="003F641B">
        <w:rPr>
          <w:rFonts w:cs="Times New Roman"/>
        </w:rPr>
        <w:t xml:space="preserve"> exemption</w:t>
      </w:r>
      <w:r w:rsidR="00597BCC" w:rsidRPr="003F641B">
        <w:rPr>
          <w:rFonts w:cs="Times New Roman"/>
        </w:rPr>
        <w:t xml:space="preserve"> is also an option, whereby information produced for or by public sector bodies would be excluded from copyright and related rights altogether.</w:t>
      </w:r>
    </w:p>
    <w:p w14:paraId="6959A4DF" w14:textId="77777777" w:rsidR="000B1567" w:rsidRPr="003F641B" w:rsidRDefault="000B1567" w:rsidP="00D47DDF">
      <w:pPr>
        <w:rPr>
          <w:rFonts w:cs="Times New Roman"/>
        </w:rPr>
      </w:pPr>
    </w:p>
    <w:p w14:paraId="17556C9E" w14:textId="6FEDEE10" w:rsidR="003325F3" w:rsidRPr="003F641B" w:rsidRDefault="008145D9" w:rsidP="00D47DDF">
      <w:pPr>
        <w:rPr>
          <w:rFonts w:cs="Times New Roman"/>
        </w:rPr>
      </w:pPr>
      <w:r w:rsidRPr="003F641B">
        <w:rPr>
          <w:rFonts w:cs="Times New Roman"/>
        </w:rPr>
        <w:t xml:space="preserve">A third possible approach would be to </w:t>
      </w:r>
      <w:r w:rsidR="002F5331" w:rsidRPr="003F641B">
        <w:rPr>
          <w:rFonts w:cs="Times New Roman"/>
        </w:rPr>
        <w:t xml:space="preserve">focus on drafting </w:t>
      </w:r>
      <w:r w:rsidR="00A424F5" w:rsidRPr="003F641B">
        <w:rPr>
          <w:rFonts w:cs="Times New Roman"/>
        </w:rPr>
        <w:t>user rights, which would allow</w:t>
      </w:r>
      <w:r w:rsidR="00CF306F" w:rsidRPr="003F641B">
        <w:rPr>
          <w:rFonts w:cs="Times New Roman"/>
        </w:rPr>
        <w:t xml:space="preserve"> for example free uses of essential public sector information</w:t>
      </w:r>
      <w:r w:rsidR="00AA65BC" w:rsidRPr="003F641B">
        <w:rPr>
          <w:rFonts w:cs="Times New Roman"/>
        </w:rPr>
        <w:t xml:space="preserve"> and non-</w:t>
      </w:r>
      <w:r w:rsidR="00DF1368" w:rsidRPr="003F641B">
        <w:rPr>
          <w:rFonts w:cs="Times New Roman"/>
        </w:rPr>
        <w:t>commercial /</w:t>
      </w:r>
      <w:r w:rsidR="00AA65BC" w:rsidRPr="003F641B">
        <w:rPr>
          <w:rFonts w:cs="Times New Roman"/>
        </w:rPr>
        <w:t xml:space="preserve"> public interest type uses of other public sector information. </w:t>
      </w:r>
      <w:r w:rsidR="000B1567" w:rsidRPr="003F641B">
        <w:rPr>
          <w:rFonts w:cs="Times New Roman"/>
        </w:rPr>
        <w:t xml:space="preserve">Of course, </w:t>
      </w:r>
      <w:r w:rsidR="009427AD" w:rsidRPr="003F641B">
        <w:rPr>
          <w:rFonts w:cs="Times New Roman"/>
        </w:rPr>
        <w:t xml:space="preserve">one could also conceive of </w:t>
      </w:r>
      <w:r w:rsidR="000B1567" w:rsidRPr="003F641B">
        <w:rPr>
          <w:rFonts w:cs="Times New Roman"/>
        </w:rPr>
        <w:t>a mix of approaches</w:t>
      </w:r>
      <w:r w:rsidR="009427AD" w:rsidRPr="003F641B">
        <w:rPr>
          <w:rFonts w:cs="Times New Roman"/>
        </w:rPr>
        <w:t xml:space="preserve">. </w:t>
      </w:r>
    </w:p>
    <w:p w14:paraId="587DE07D" w14:textId="77777777" w:rsidR="003325F3" w:rsidRPr="003F641B" w:rsidRDefault="003325F3" w:rsidP="00D47DDF">
      <w:pPr>
        <w:rPr>
          <w:rFonts w:cs="Times New Roman"/>
        </w:rPr>
      </w:pPr>
    </w:p>
    <w:p w14:paraId="3EB6911C" w14:textId="67F15D2C" w:rsidR="00B2594D" w:rsidRPr="003F641B" w:rsidRDefault="00405E0C" w:rsidP="00D47DDF">
      <w:pPr>
        <w:rPr>
          <w:rFonts w:cs="Times New Roman"/>
          <w:highlight w:val="yellow"/>
        </w:rPr>
      </w:pPr>
      <w:r w:rsidRPr="003F641B">
        <w:rPr>
          <w:rFonts w:cs="Times New Roman"/>
        </w:rPr>
        <w:t xml:space="preserve">To not address the topic in the context of (international) copyright law at </w:t>
      </w:r>
      <w:r w:rsidR="00DF1368" w:rsidRPr="003F641B">
        <w:rPr>
          <w:rFonts w:cs="Times New Roman"/>
        </w:rPr>
        <w:t>all,</w:t>
      </w:r>
      <w:r w:rsidRPr="003F641B">
        <w:rPr>
          <w:rFonts w:cs="Times New Roman"/>
        </w:rPr>
        <w:t xml:space="preserve"> however, would be to </w:t>
      </w:r>
      <w:r w:rsidR="00355370" w:rsidRPr="003F641B">
        <w:rPr>
          <w:rFonts w:cs="Times New Roman"/>
        </w:rPr>
        <w:t xml:space="preserve">perpetuate the statis of Article </w:t>
      </w:r>
      <w:r w:rsidR="006E1FF5" w:rsidRPr="003F641B">
        <w:t>2(4) Berne Convention</w:t>
      </w:r>
      <w:r w:rsidR="00F82FE4" w:rsidRPr="003F641B">
        <w:t xml:space="preserve">, with the probable outcome that </w:t>
      </w:r>
      <w:r w:rsidR="00844C3C" w:rsidRPr="003F641B">
        <w:t xml:space="preserve">limitations on </w:t>
      </w:r>
      <w:r w:rsidR="00BD4C3E">
        <w:t xml:space="preserve">the exercise of </w:t>
      </w:r>
      <w:r w:rsidR="00844C3C" w:rsidRPr="003F641B">
        <w:t xml:space="preserve">exclusive rights in public sector information would </w:t>
      </w:r>
      <w:r w:rsidR="00F671C3" w:rsidRPr="003F641B">
        <w:t xml:space="preserve">ultimately </w:t>
      </w:r>
      <w:r w:rsidR="00844C3C" w:rsidRPr="003F641B">
        <w:t xml:space="preserve">be coming from the </w:t>
      </w:r>
      <w:r w:rsidR="00BB5A4F" w:rsidRPr="003F641B">
        <w:t>‘</w:t>
      </w:r>
      <w:r w:rsidR="00844C3C" w:rsidRPr="003F641B">
        <w:t>outside’</w:t>
      </w:r>
      <w:r w:rsidR="00BB5A4F" w:rsidRPr="003F641B">
        <w:t xml:space="preserve">, </w:t>
      </w:r>
      <w:r w:rsidR="001A67F9" w:rsidRPr="003F641B">
        <w:t>e.g.,</w:t>
      </w:r>
      <w:r w:rsidR="00BB5A4F" w:rsidRPr="003F641B">
        <w:t xml:space="preserve"> in international </w:t>
      </w:r>
      <w:r w:rsidR="0048692E">
        <w:t xml:space="preserve">or regional </w:t>
      </w:r>
      <w:r w:rsidR="00BB5A4F" w:rsidRPr="003F641B">
        <w:t>right to information instruments. Th</w:t>
      </w:r>
      <w:r w:rsidR="001D1ED3">
        <w:t xml:space="preserve">at </w:t>
      </w:r>
      <w:r w:rsidR="00537956" w:rsidRPr="003F641B">
        <w:t xml:space="preserve">will </w:t>
      </w:r>
      <w:r w:rsidR="00CF6189">
        <w:t xml:space="preserve">likely </w:t>
      </w:r>
      <w:r w:rsidR="00537956" w:rsidRPr="003F641B">
        <w:t>perpetuate the legal uncertainty that exists today</w:t>
      </w:r>
      <w:r w:rsidR="003325F3" w:rsidRPr="003F641B">
        <w:t xml:space="preserve"> about the copyright status of public sector information</w:t>
      </w:r>
      <w:r w:rsidR="004177C8" w:rsidRPr="003F641B">
        <w:t>. More importantly, it adds</w:t>
      </w:r>
      <w:r w:rsidR="00F671C3" w:rsidRPr="003F641B">
        <w:t xml:space="preserve"> a layer of complexity to the international copyright framework since its proper </w:t>
      </w:r>
      <w:r w:rsidR="00200CAC" w:rsidRPr="003F641B">
        <w:t xml:space="preserve">scope and </w:t>
      </w:r>
      <w:r w:rsidR="00F671C3" w:rsidRPr="003F641B">
        <w:t>interpretation</w:t>
      </w:r>
      <w:r w:rsidR="00200CAC" w:rsidRPr="003F641B">
        <w:t xml:space="preserve"> would be dependent on</w:t>
      </w:r>
      <w:r w:rsidR="00E923C3" w:rsidRPr="003F641B">
        <w:t xml:space="preserve"> such other international norms that address acc</w:t>
      </w:r>
      <w:r w:rsidR="002E22FB" w:rsidRPr="003F641B">
        <w:t>ess to and re-use of information</w:t>
      </w:r>
      <w:r w:rsidR="0088530E" w:rsidRPr="003F641B">
        <w:t>.</w:t>
      </w:r>
    </w:p>
    <w:p w14:paraId="3E7AF6A0" w14:textId="7858898F" w:rsidR="006D223F" w:rsidRPr="003F641B" w:rsidRDefault="006D223F" w:rsidP="0088530E">
      <w:pPr>
        <w:spacing w:line="240" w:lineRule="auto"/>
        <w:rPr>
          <w:rFonts w:cs="Times New Roman"/>
        </w:rPr>
      </w:pPr>
    </w:p>
    <w:sectPr w:rsidR="006D223F" w:rsidRPr="003F64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888A" w14:textId="77777777" w:rsidR="00654DC0" w:rsidRDefault="00654DC0" w:rsidP="00992E49">
      <w:pPr>
        <w:spacing w:line="240" w:lineRule="auto"/>
      </w:pPr>
      <w:r>
        <w:separator/>
      </w:r>
    </w:p>
  </w:endnote>
  <w:endnote w:type="continuationSeparator" w:id="0">
    <w:p w14:paraId="354BD50F" w14:textId="77777777" w:rsidR="00654DC0" w:rsidRDefault="00654DC0" w:rsidP="00992E49">
      <w:pPr>
        <w:spacing w:line="240" w:lineRule="auto"/>
      </w:pPr>
      <w:r>
        <w:continuationSeparator/>
      </w:r>
    </w:p>
  </w:endnote>
  <w:endnote w:type="continuationNotice" w:id="1">
    <w:p w14:paraId="695525BF" w14:textId="77777777" w:rsidR="00654DC0" w:rsidRDefault="00654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CB76" w14:textId="7568D0DD" w:rsidR="00C57BEC" w:rsidRDefault="00C57BEC">
    <w:pPr>
      <w:pStyle w:val="Footer"/>
    </w:pPr>
    <w:r>
      <w:fldChar w:fldCharType="begin"/>
    </w:r>
    <w:r>
      <w:instrText>PAGE   \* MERGEFORMAT</w:instrText>
    </w:r>
    <w:r>
      <w:fldChar w:fldCharType="separate"/>
    </w:r>
    <w:r>
      <w:rPr>
        <w:lang w:val="nl-N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B557" w14:textId="77777777" w:rsidR="00654DC0" w:rsidRDefault="00654DC0" w:rsidP="00992E49">
      <w:pPr>
        <w:spacing w:line="240" w:lineRule="auto"/>
      </w:pPr>
      <w:r>
        <w:separator/>
      </w:r>
    </w:p>
  </w:footnote>
  <w:footnote w:type="continuationSeparator" w:id="0">
    <w:p w14:paraId="585A6750" w14:textId="77777777" w:rsidR="00654DC0" w:rsidRDefault="00654DC0" w:rsidP="00992E49">
      <w:pPr>
        <w:spacing w:line="240" w:lineRule="auto"/>
      </w:pPr>
      <w:r>
        <w:continuationSeparator/>
      </w:r>
    </w:p>
  </w:footnote>
  <w:footnote w:type="continuationNotice" w:id="1">
    <w:p w14:paraId="1D2C5C7C" w14:textId="77777777" w:rsidR="00654DC0" w:rsidRDefault="00654DC0">
      <w:pPr>
        <w:spacing w:line="240" w:lineRule="auto"/>
      </w:pPr>
    </w:p>
  </w:footnote>
  <w:footnote w:id="2">
    <w:p w14:paraId="358CB070" w14:textId="535A5D97" w:rsidR="00992E49" w:rsidRPr="00992E49" w:rsidRDefault="00992E49">
      <w:pPr>
        <w:pStyle w:val="FootnoteText"/>
      </w:pPr>
      <w:r>
        <w:rPr>
          <w:rStyle w:val="FootnoteReference"/>
        </w:rPr>
        <w:footnoteRef/>
      </w:r>
      <w:r>
        <w:t xml:space="preserve"> </w:t>
      </w:r>
      <w:r w:rsidRPr="00992E49">
        <w:t xml:space="preserve">See e.g. the open data policy of the </w:t>
      </w:r>
      <w:r w:rsidR="0020713A" w:rsidRPr="00992E49">
        <w:t>World bank</w:t>
      </w:r>
      <w:r w:rsidRPr="00992E49">
        <w:t xml:space="preserve"> (</w:t>
      </w:r>
      <w:hyperlink r:id="rId1" w:history="1">
        <w:r w:rsidRPr="00C311A3">
          <w:rPr>
            <w:rStyle w:val="Hyperlink"/>
          </w:rPr>
          <w:t>http://opendatatoolkit.worldbank.org/en/</w:t>
        </w:r>
      </w:hyperlink>
      <w:r>
        <w:t>), OECD (</w:t>
      </w:r>
      <w:hyperlink r:id="rId2" w:history="1">
        <w:r w:rsidRPr="00C311A3">
          <w:rPr>
            <w:rStyle w:val="Hyperlink"/>
          </w:rPr>
          <w:t>https://www.oecd.org/gov/digital-government/open-government-data.htm</w:t>
        </w:r>
      </w:hyperlink>
      <w:r>
        <w:t xml:space="preserve">), </w:t>
      </w:r>
      <w:r w:rsidR="00A515A3">
        <w:t>UNESCO (</w:t>
      </w:r>
      <w:hyperlink r:id="rId3" w:history="1">
        <w:r w:rsidR="00A515A3" w:rsidRPr="00C311A3">
          <w:rPr>
            <w:rStyle w:val="Hyperlink"/>
          </w:rPr>
          <w:t>https://www.unesco.org/en/communication-information/open-solutions/open-data</w:t>
        </w:r>
      </w:hyperlink>
      <w:r w:rsidR="00A515A3">
        <w:t>)</w:t>
      </w:r>
      <w:r w:rsidR="00B04A22">
        <w:t>.</w:t>
      </w:r>
      <w:r w:rsidR="00A515A3">
        <w:t xml:space="preserve"> </w:t>
      </w:r>
      <w:r>
        <w:t xml:space="preserve"> </w:t>
      </w:r>
    </w:p>
  </w:footnote>
  <w:footnote w:id="3">
    <w:p w14:paraId="76EAAF1F" w14:textId="50FC6D44" w:rsidR="00317EBC" w:rsidRPr="00317EBC" w:rsidRDefault="00317EBC">
      <w:pPr>
        <w:pStyle w:val="FootnoteText"/>
      </w:pPr>
      <w:r>
        <w:rPr>
          <w:rStyle w:val="FootnoteReference"/>
        </w:rPr>
        <w:footnoteRef/>
      </w:r>
      <w:r>
        <w:t xml:space="preserve"> For a history of early access to information laws, see S. </w:t>
      </w:r>
      <w:r w:rsidRPr="00317EBC">
        <w:t>Lamble "Freedom of Information, a Finnish clergyman</w:t>
      </w:r>
      <w:r>
        <w:rPr>
          <w:rFonts w:ascii="Tahoma" w:hAnsi="Tahoma" w:cs="Tahoma"/>
        </w:rPr>
        <w:t>’</w:t>
      </w:r>
      <w:r w:rsidRPr="00317EBC">
        <w:t>s gift to democracy" [2002] 97 Freedom of Information Review 2</w:t>
      </w:r>
      <w:r>
        <w:t>.</w:t>
      </w:r>
    </w:p>
  </w:footnote>
  <w:footnote w:id="4">
    <w:p w14:paraId="34AB0029" w14:textId="5E7BFF96" w:rsidR="006F223F" w:rsidRPr="006F223F" w:rsidRDefault="006D223F">
      <w:pPr>
        <w:pStyle w:val="FootnoteText"/>
      </w:pPr>
      <w:r>
        <w:rPr>
          <w:rStyle w:val="FootnoteReference"/>
        </w:rPr>
        <w:footnoteRef/>
      </w:r>
      <w:r>
        <w:t xml:space="preserve"> See for e</w:t>
      </w:r>
      <w:r w:rsidR="00A90BBA">
        <w:t>x</w:t>
      </w:r>
      <w:r>
        <w:t xml:space="preserve">ample the overview on </w:t>
      </w:r>
      <w:hyperlink r:id="rId4" w:history="1">
        <w:r w:rsidR="00A90BBA" w:rsidRPr="00C62A05">
          <w:rPr>
            <w:rStyle w:val="Hyperlink"/>
          </w:rPr>
          <w:t>https://www.rti-rating.org</w:t>
        </w:r>
      </w:hyperlink>
      <w:r w:rsidR="00560371">
        <w:t>. Numbers here are based on</w:t>
      </w:r>
      <w:r w:rsidR="00A90BBA">
        <w:t xml:space="preserve"> the historical data</w:t>
      </w:r>
      <w:r w:rsidR="00560371">
        <w:t xml:space="preserve"> for 2022.</w:t>
      </w:r>
      <w:r w:rsidR="006F223F">
        <w:t xml:space="preserve"> </w:t>
      </w:r>
      <w:hyperlink r:id="rId5" w:history="1">
        <w:r w:rsidR="006F223F" w:rsidRPr="00C62A05">
          <w:rPr>
            <w:rStyle w:val="Hyperlink"/>
          </w:rPr>
          <w:t>https://www.rti-rating.org/historical/</w:t>
        </w:r>
      </w:hyperlink>
      <w:r w:rsidR="006F223F">
        <w:t>.</w:t>
      </w:r>
    </w:p>
  </w:footnote>
  <w:footnote w:id="5">
    <w:p w14:paraId="59B8465F" w14:textId="026B7EEA" w:rsidR="00656402" w:rsidRPr="00656402" w:rsidRDefault="00656402">
      <w:pPr>
        <w:pStyle w:val="FootnoteText"/>
        <w:rPr>
          <w:lang w:val="nl-NL"/>
        </w:rPr>
      </w:pPr>
      <w:r>
        <w:rPr>
          <w:rStyle w:val="FootnoteReference"/>
        </w:rPr>
        <w:footnoteRef/>
      </w:r>
      <w:r>
        <w:t xml:space="preserve"> </w:t>
      </w:r>
      <w:r>
        <w:fldChar w:fldCharType="begin"/>
      </w:r>
      <w:r>
        <w:instrText xml:space="preserve"> ADDIN ZOTERO_ITEM CSL_CITATION {"citationID":"J5tki3bz","properties":{"formattedCitation":"UN Human Rights Council Special Rapporteur on the Promotion and Protection of the Right to Freedom of Opinion and Expression e.a., \\uc0\\u8216{}Report of the Special Rapporteur on the Promotion and Protection of the Right to Freedom of Opinion and Expression\\uc0\\u8239{}:: Addendum\\uc0\\u8217{}, 25 maart 2010, https://digitallibrary.un.org/record/681124.","plainCitation":"UN Human Rights Council Special Rapporteur on the Promotion and Protection of the Right to Freedom of Opinion and Expression e.a., ‘Report of the Special Rapporteur on the Promotion and Protection of the Right to Freedom of Opinion and Expression :: Addendum’, 25 maart 2010, https://digitallibrary.un.org/record/681124.","noteIndex":4},"citationItems":[{"id":4802,"uris":["http://zotero.org/users/local/Jh4YZuUR/items/7DCBL9FL"],"itemData":{"id":4802,"type":"article-journal","language":"en","note":"publisher: UN,","source":"digitallibrary.un.org","title":"Report of the Special Rapporteur on the Promotion and Protection of the Right to Freedom of Opinion and Expression :: addendum","title-short":"Report of the Special Rapporteur on the Promotion and Protection of the Right to Freedom of Opinion and Expression","URL":"https://digitallibrary.un.org/record/681124","author":[{"family":"Expression","given":"UN Human Rights Council Special Rapporteur on the Promotion and Protection of the Right to Freedom of Opinion","dropping-particle":"and"},{"family":"Media","given":"Organization for Security and Co-operation in Europe Representative on Freedom","dropping-particle":"of the"},{"family":"Expression","given":"OAS Special Rapporteur on Freedom","dropping-particle":"of"},{"family":"Information","given":"African Commission on Human and Peoples' Rights Special Rapporteur on Freedom of Expression and Access","dropping-particle":"to"}],"accessed":{"date-parts":[["2023",3,9]]},"issued":{"date-parts":[["2010",3,25]]}}}],"schema":"https://github.com/citation-style-language/schema/raw/master/csl-citation.json"} </w:instrText>
      </w:r>
      <w:r>
        <w:fldChar w:fldCharType="separate"/>
      </w:r>
      <w:r w:rsidRPr="00656402">
        <w:rPr>
          <w:rFonts w:cs="Times New Roman"/>
          <w:szCs w:val="24"/>
        </w:rPr>
        <w:t>UN Human Rights Council ‘Report of the Special Rapporteur on the Promotion and Protection of the Right to Freedom of Opinion and Expression: Addendum’, 2010, https://digitallibrary.un.org/record/681124</w:t>
      </w:r>
      <w:r w:rsidR="007C4721">
        <w:rPr>
          <w:rFonts w:cs="Times New Roman"/>
          <w:szCs w:val="24"/>
        </w:rPr>
        <w:t xml:space="preserve">, p. 5; </w:t>
      </w:r>
      <w:r w:rsidRPr="00656402">
        <w:rPr>
          <w:rFonts w:cs="Times New Roman"/>
          <w:szCs w:val="24"/>
        </w:rPr>
        <w:t>.</w:t>
      </w:r>
      <w:r>
        <w:fldChar w:fldCharType="end"/>
      </w:r>
    </w:p>
  </w:footnote>
  <w:footnote w:id="6">
    <w:p w14:paraId="309D1FB0" w14:textId="3C02E22F" w:rsidR="00126C9B" w:rsidRDefault="00126C9B" w:rsidP="00126C9B">
      <w:pPr>
        <w:pStyle w:val="FootnoteText"/>
      </w:pPr>
      <w:r>
        <w:rPr>
          <w:rStyle w:val="FootnoteReference"/>
        </w:rPr>
        <w:footnoteRef/>
      </w:r>
      <w:r>
        <w:t xml:space="preserve"> Inter-American Commission on Human Rights. Office of the Special Rapporteur for Freedom of Expression.  </w:t>
      </w:r>
    </w:p>
    <w:p w14:paraId="6DF39FA7" w14:textId="0E2DFAF7" w:rsidR="00126C9B" w:rsidRPr="00126C9B" w:rsidRDefault="00126C9B" w:rsidP="006C7DD6">
      <w:pPr>
        <w:pStyle w:val="FootnoteText"/>
        <w:rPr>
          <w:lang w:val="nl-NL"/>
        </w:rPr>
      </w:pPr>
      <w:r>
        <w:t>Standards for a free, open, and inclusive Internet. 2010</w:t>
      </w:r>
      <w:r w:rsidR="00795183">
        <w:t xml:space="preserve">; </w:t>
      </w:r>
      <w:r w:rsidR="006B0907">
        <w:t>Organization of American States. Permanent Council of the Organization of American States. Committee on Juridical and Political Affairs. Model Inter-American Law on Access to Information. OEA/Ser.G, CP/CAJP-2840/10</w:t>
      </w:r>
      <w:r w:rsidR="006C7DD6">
        <w:t>, 2010</w:t>
      </w:r>
      <w:r>
        <w:t xml:space="preserve">. </w:t>
      </w:r>
    </w:p>
  </w:footnote>
  <w:footnote w:id="7">
    <w:p w14:paraId="23459C91" w14:textId="64281DA7" w:rsidR="00982761" w:rsidRPr="00982761" w:rsidRDefault="00982761" w:rsidP="00982761">
      <w:pPr>
        <w:pStyle w:val="FootnoteText"/>
        <w:rPr>
          <w:lang w:val="nl-NL"/>
        </w:rPr>
      </w:pPr>
      <w:r>
        <w:rPr>
          <w:rStyle w:val="FootnoteReference"/>
        </w:rPr>
        <w:footnoteRef/>
      </w:r>
      <w:r>
        <w:t xml:space="preserve"> </w:t>
      </w:r>
      <w:r>
        <w:rPr>
          <w:lang w:val="nl-NL"/>
        </w:rPr>
        <w:t xml:space="preserve">For a description of relevant cases, see </w:t>
      </w:r>
      <w:r w:rsidR="00B9690A">
        <w:rPr>
          <w:lang w:val="nl-NL"/>
        </w:rPr>
        <w:t xml:space="preserve">Council of Europe, </w:t>
      </w:r>
      <w:r w:rsidR="00B9690A" w:rsidRPr="00B9690A">
        <w:rPr>
          <w:lang w:val="nl-NL"/>
        </w:rPr>
        <w:t>Guide on Article 10</w:t>
      </w:r>
      <w:r w:rsidR="009274A6">
        <w:rPr>
          <w:lang w:val="nl-NL"/>
        </w:rPr>
        <w:t xml:space="preserve"> </w:t>
      </w:r>
      <w:r w:rsidR="00B9690A" w:rsidRPr="00B9690A">
        <w:rPr>
          <w:lang w:val="nl-NL"/>
        </w:rPr>
        <w:t>of the European Convention on Human Rights</w:t>
      </w:r>
      <w:r w:rsidR="00B9690A">
        <w:rPr>
          <w:lang w:val="nl-NL"/>
        </w:rPr>
        <w:t xml:space="preserve">, chap </w:t>
      </w:r>
      <w:r w:rsidRPr="00982761">
        <w:rPr>
          <w:lang w:val="nl-NL"/>
        </w:rPr>
        <w:t>IX. Freedom of expression and the right of access to</w:t>
      </w:r>
      <w:r w:rsidR="009274A6">
        <w:rPr>
          <w:lang w:val="nl-NL"/>
        </w:rPr>
        <w:t xml:space="preserve"> </w:t>
      </w:r>
      <w:r w:rsidRPr="00982761">
        <w:rPr>
          <w:lang w:val="nl-NL"/>
        </w:rPr>
        <w:t>State-held information</w:t>
      </w:r>
      <w:r w:rsidR="00EF3F1E">
        <w:rPr>
          <w:lang w:val="nl-NL"/>
        </w:rPr>
        <w:t xml:space="preserve"> (2022).</w:t>
      </w:r>
    </w:p>
  </w:footnote>
  <w:footnote w:id="8">
    <w:p w14:paraId="14CB84D2" w14:textId="017707A5" w:rsidR="003F7016" w:rsidRPr="003F7016" w:rsidRDefault="003F7016">
      <w:pPr>
        <w:pStyle w:val="FootnoteText"/>
        <w:rPr>
          <w:lang w:val="nl-NL"/>
        </w:rPr>
      </w:pPr>
      <w:r>
        <w:rPr>
          <w:rStyle w:val="FootnoteReference"/>
        </w:rPr>
        <w:footnoteRef/>
      </w:r>
      <w:r>
        <w:t xml:space="preserve"> </w:t>
      </w:r>
      <w:r w:rsidR="00B23C36">
        <w:t xml:space="preserve">See </w:t>
      </w:r>
      <w:r w:rsidR="009274A6">
        <w:t>e.g.,</w:t>
      </w:r>
      <w:r w:rsidR="00B23C36">
        <w:t xml:space="preserve"> </w:t>
      </w:r>
      <w:r w:rsidR="000B04C8" w:rsidRPr="00455F2B">
        <w:t>E</w:t>
      </w:r>
      <w:r w:rsidR="007E55D7" w:rsidRPr="00455F2B">
        <w:t>C</w:t>
      </w:r>
      <w:r w:rsidR="000B04C8" w:rsidRPr="00455F2B">
        <w:t>tHR</w:t>
      </w:r>
      <w:r w:rsidR="00353FFA" w:rsidRPr="00455F2B">
        <w:t xml:space="preserve"> 3 March 2020, Centre for democracy and the rule of law v. Ukraine</w:t>
      </w:r>
      <w:r w:rsidR="00F14AFE" w:rsidRPr="00455F2B">
        <w:t xml:space="preserve">, case </w:t>
      </w:r>
      <w:r w:rsidR="00645389" w:rsidRPr="00455F2B">
        <w:t>75865/</w:t>
      </w:r>
      <w:r w:rsidR="001A67F9" w:rsidRPr="00455F2B">
        <w:t>11, ECLI</w:t>
      </w:r>
      <w:r w:rsidR="00544143">
        <w:t>:CE:ECHR:2020:0303DEC007586511</w:t>
      </w:r>
    </w:p>
  </w:footnote>
  <w:footnote w:id="9">
    <w:p w14:paraId="1FF3FFB1" w14:textId="25A880F3" w:rsidR="00480729" w:rsidRPr="00480729" w:rsidRDefault="00480729">
      <w:pPr>
        <w:pStyle w:val="FootnoteText"/>
        <w:rPr>
          <w:lang w:val="nl-NL"/>
        </w:rPr>
      </w:pPr>
      <w:r>
        <w:rPr>
          <w:rStyle w:val="FootnoteReference"/>
        </w:rPr>
        <w:footnoteRef/>
      </w:r>
      <w:r>
        <w:t xml:space="preserve"> </w:t>
      </w:r>
      <w:r>
        <w:rPr>
          <w:lang w:val="nl-NL"/>
        </w:rPr>
        <w:t xml:space="preserve">Para 41. </w:t>
      </w:r>
      <w:r>
        <w:t>Model Inter-American Law on Access to Information. OEA/Ser.G, CP/CAJP-2840/10, 2010.</w:t>
      </w:r>
    </w:p>
  </w:footnote>
  <w:footnote w:id="10">
    <w:p w14:paraId="4719CB68" w14:textId="0B9BC38C" w:rsidR="00877A92" w:rsidRPr="00877A92" w:rsidRDefault="00877A92">
      <w:pPr>
        <w:pStyle w:val="FootnoteText"/>
        <w:rPr>
          <w:lang w:val="nl-NL"/>
        </w:rPr>
      </w:pPr>
      <w:r>
        <w:rPr>
          <w:rStyle w:val="FootnoteReference"/>
        </w:rPr>
        <w:footnoteRef/>
      </w:r>
      <w:r>
        <w:t xml:space="preserve"> </w:t>
      </w:r>
      <w:hyperlink r:id="rId6" w:history="1">
        <w:r>
          <w:rPr>
            <w:rStyle w:val="Hyperlink"/>
            <w:shd w:val="clear" w:color="auto" w:fill="FFFFFF"/>
          </w:rPr>
          <w:t>The Council of Europe Convention on Access to Official Documents</w:t>
        </w:r>
      </w:hyperlink>
      <w:r>
        <w:rPr>
          <w:shd w:val="clear" w:color="auto" w:fill="FFFFFF"/>
        </w:rPr>
        <w:t xml:space="preserve"> (CETS No. 205, ‘</w:t>
      </w:r>
      <w:r w:rsidRPr="00877A92">
        <w:rPr>
          <w:rStyle w:val="Emphasis"/>
        </w:rPr>
        <w:t>Tromsø Convention</w:t>
      </w:r>
      <w:r>
        <w:rPr>
          <w:rStyle w:val="Emphasis"/>
        </w:rPr>
        <w:t>’</w:t>
      </w:r>
      <w:r w:rsidR="00DD4814">
        <w:rPr>
          <w:rStyle w:val="Emphasis"/>
        </w:rPr>
        <w:t>)</w:t>
      </w:r>
    </w:p>
  </w:footnote>
  <w:footnote w:id="11">
    <w:p w14:paraId="47BF0E49" w14:textId="6C372384" w:rsidR="00F708B1" w:rsidRPr="00F708B1" w:rsidRDefault="00F708B1" w:rsidP="00F708B1">
      <w:pPr>
        <w:pStyle w:val="FootnoteText"/>
        <w:rPr>
          <w:lang w:val="nl-NL"/>
        </w:rPr>
      </w:pPr>
      <w:r>
        <w:rPr>
          <w:rStyle w:val="FootnoteReference"/>
        </w:rPr>
        <w:footnoteRef/>
      </w:r>
      <w:r>
        <w:t xml:space="preserve"> </w:t>
      </w:r>
      <w:r>
        <w:rPr>
          <w:lang w:val="nl-NL"/>
        </w:rPr>
        <w:t xml:space="preserve">See </w:t>
      </w:r>
      <w:r w:rsidRPr="00171C00">
        <w:rPr>
          <w:i/>
          <w:iCs/>
          <w:lang w:val="nl-NL"/>
        </w:rPr>
        <w:t>Rapport explicatif de la Convention du Conseil de l’Europe sur l’accès aux documents publics</w:t>
      </w:r>
      <w:r>
        <w:rPr>
          <w:lang w:val="nl-NL"/>
        </w:rPr>
        <w:t xml:space="preserve">, </w:t>
      </w:r>
      <w:r w:rsidR="0061253B">
        <w:rPr>
          <w:lang w:val="nl-NL"/>
        </w:rPr>
        <w:t xml:space="preserve">available at </w:t>
      </w:r>
      <w:r w:rsidR="0061253B" w:rsidRPr="0061253B">
        <w:rPr>
          <w:lang w:val="nl-NL"/>
        </w:rPr>
        <w:t>https://www.coe.int/en/web/access-to-official-documents</w:t>
      </w:r>
      <w:r w:rsidR="0061253B">
        <w:rPr>
          <w:lang w:val="nl-NL"/>
        </w:rPr>
        <w:t>.</w:t>
      </w:r>
    </w:p>
  </w:footnote>
  <w:footnote w:id="12">
    <w:p w14:paraId="3D6EBD55" w14:textId="65DB6FA8" w:rsidR="00752C02" w:rsidRPr="00752C02" w:rsidRDefault="00752C02">
      <w:pPr>
        <w:pStyle w:val="FootnoteText"/>
        <w:rPr>
          <w:lang w:val="nl-NL"/>
        </w:rPr>
      </w:pPr>
      <w:r>
        <w:rPr>
          <w:rStyle w:val="FootnoteReference"/>
        </w:rPr>
        <w:footnoteRef/>
      </w:r>
      <w:r>
        <w:t xml:space="preserve"> See </w:t>
      </w:r>
      <w:r w:rsidRPr="006433A3">
        <w:t>https://www.un.org/en/observances/information-access-day</w:t>
      </w:r>
    </w:p>
  </w:footnote>
  <w:footnote w:id="13">
    <w:p w14:paraId="781E8C64" w14:textId="552CFEF5" w:rsidR="00ED3E50" w:rsidRPr="00ED3E50" w:rsidRDefault="00ED3E50">
      <w:pPr>
        <w:pStyle w:val="FootnoteText"/>
        <w:rPr>
          <w:lang w:val="nl-NL"/>
        </w:rPr>
      </w:pPr>
      <w:r>
        <w:rPr>
          <w:rStyle w:val="FootnoteReference"/>
        </w:rPr>
        <w:footnoteRef/>
      </w:r>
      <w:r>
        <w:t xml:space="preserve"> </w:t>
      </w:r>
      <w:r w:rsidR="00F06E38">
        <w:rPr>
          <w:lang w:val="nl-NL"/>
        </w:rPr>
        <w:t xml:space="preserve">See </w:t>
      </w:r>
      <w:r w:rsidR="00F06E38" w:rsidRPr="00F06E38">
        <w:rPr>
          <w:lang w:val="nl-NL"/>
        </w:rPr>
        <w:t>https://opendefinition.org/</w:t>
      </w:r>
    </w:p>
  </w:footnote>
  <w:footnote w:id="14">
    <w:p w14:paraId="7C84B42A" w14:textId="45385F4A" w:rsidR="000C2864" w:rsidRPr="000C2864" w:rsidRDefault="000C2864">
      <w:pPr>
        <w:pStyle w:val="FootnoteText"/>
        <w:rPr>
          <w:lang w:val="nl-NL"/>
        </w:rPr>
      </w:pPr>
      <w:r>
        <w:rPr>
          <w:rStyle w:val="FootnoteReference"/>
        </w:rPr>
        <w:footnoteRef/>
      </w:r>
      <w:r>
        <w:t xml:space="preserve"> </w:t>
      </w:r>
      <w:r>
        <w:rPr>
          <w:lang w:val="nl-NL"/>
        </w:rPr>
        <w:t xml:space="preserve">E.g. </w:t>
      </w:r>
      <w:r w:rsidR="0088268E">
        <w:rPr>
          <w:lang w:val="nl-NL"/>
        </w:rPr>
        <w:t>An</w:t>
      </w:r>
      <w:r w:rsidR="003A3E00">
        <w:rPr>
          <w:lang w:val="nl-NL"/>
        </w:rPr>
        <w:t xml:space="preserve"> International conference for least developed and developing cou</w:t>
      </w:r>
      <w:r w:rsidR="006B02AC">
        <w:rPr>
          <w:lang w:val="nl-NL"/>
        </w:rPr>
        <w:t>ntries on copyright and management of public sector information</w:t>
      </w:r>
      <w:r w:rsidR="00B63DF3">
        <w:rPr>
          <w:lang w:val="nl-NL"/>
        </w:rPr>
        <w:t>, Nairobi</w:t>
      </w:r>
      <w:r w:rsidR="006B02AC">
        <w:rPr>
          <w:lang w:val="nl-NL"/>
        </w:rPr>
        <w:t xml:space="preserve"> </w:t>
      </w:r>
      <w:r>
        <w:rPr>
          <w:lang w:val="nl-NL"/>
        </w:rPr>
        <w:t>2019</w:t>
      </w:r>
      <w:r w:rsidR="007C0563">
        <w:rPr>
          <w:lang w:val="nl-NL"/>
        </w:rPr>
        <w:t xml:space="preserve"> (WIPO/CR/NBO/2/19)</w:t>
      </w:r>
      <w:r w:rsidR="00B12579">
        <w:rPr>
          <w:lang w:val="nl-NL"/>
        </w:rPr>
        <w:t>.</w:t>
      </w:r>
    </w:p>
  </w:footnote>
  <w:footnote w:id="15">
    <w:p w14:paraId="4148FD72" w14:textId="48C1BAA7" w:rsidR="003A6FA8" w:rsidRPr="000E7A41" w:rsidRDefault="003A6FA8">
      <w:pPr>
        <w:pStyle w:val="FootnoteText"/>
      </w:pPr>
      <w:r>
        <w:rPr>
          <w:rStyle w:val="FootnoteReference"/>
        </w:rPr>
        <w:footnoteRef/>
      </w:r>
      <w:r>
        <w:t xml:space="preserve"> </w:t>
      </w:r>
      <w:r w:rsidRPr="00DB39DC">
        <w:t>Directive 2003/98/EC of the European Parliament and of the Council of 17 N</w:t>
      </w:r>
      <w:r w:rsidRPr="005504AF">
        <w:t>o</w:t>
      </w:r>
      <w:r w:rsidRPr="009C2A6F">
        <w:t xml:space="preserve">vember 2003 on the </w:t>
      </w:r>
      <w:r>
        <w:t>R</w:t>
      </w:r>
      <w:r w:rsidRPr="009C2A6F">
        <w:t>e-</w:t>
      </w:r>
      <w:r>
        <w:t>u</w:t>
      </w:r>
      <w:r w:rsidRPr="009C2A6F">
        <w:t>se of public sector information, OJ 2003, L 345, as revised by Directive 2013/37/E</w:t>
      </w:r>
      <w:r>
        <w:t>U</w:t>
      </w:r>
      <w:r w:rsidRPr="009C2A6F">
        <w:t>, OJ 2013, L175</w:t>
      </w:r>
      <w:r w:rsidR="003810E6">
        <w:t xml:space="preserve"> (short title: Public sector information directive)</w:t>
      </w:r>
      <w:r w:rsidR="002B0ADE">
        <w:t xml:space="preserve">; replaced by </w:t>
      </w:r>
      <w:r w:rsidR="003D0F12" w:rsidRPr="00C27C33">
        <w:t xml:space="preserve">Directive (EU) 2019/1024 of the European Parliament and of the Council of 20 June 2019 on Open </w:t>
      </w:r>
      <w:r w:rsidR="003810E6">
        <w:t>d</w:t>
      </w:r>
      <w:r w:rsidR="003D0F12" w:rsidRPr="00C27C33">
        <w:t xml:space="preserve">ata and the </w:t>
      </w:r>
      <w:r w:rsidR="003810E6">
        <w:t>re</w:t>
      </w:r>
      <w:r w:rsidR="003D0F12" w:rsidRPr="00C27C33">
        <w:t>-</w:t>
      </w:r>
      <w:r w:rsidR="003810E6">
        <w:t>u</w:t>
      </w:r>
      <w:r w:rsidR="003D0F12" w:rsidRPr="00C27C33">
        <w:t xml:space="preserve">se of </w:t>
      </w:r>
      <w:r w:rsidR="003810E6">
        <w:t>p</w:t>
      </w:r>
      <w:r w:rsidR="003D0F12" w:rsidRPr="00C27C33">
        <w:t xml:space="preserve">ublic </w:t>
      </w:r>
      <w:r w:rsidR="003810E6">
        <w:t>s</w:t>
      </w:r>
      <w:r w:rsidR="003D0F12" w:rsidRPr="00C27C33">
        <w:t xml:space="preserve">ector </w:t>
      </w:r>
      <w:r w:rsidR="003810E6">
        <w:t>i</w:t>
      </w:r>
      <w:r w:rsidR="003D0F12" w:rsidRPr="00C27C33">
        <w:t>nformation,</w:t>
      </w:r>
      <w:r w:rsidR="003D0F12">
        <w:t xml:space="preserve"> </w:t>
      </w:r>
      <w:r w:rsidR="003D0F12">
        <w:rPr>
          <w:smallCaps/>
        </w:rPr>
        <w:t xml:space="preserve">OJ </w:t>
      </w:r>
      <w:r w:rsidR="00C27C33">
        <w:rPr>
          <w:smallCaps/>
        </w:rPr>
        <w:t xml:space="preserve">2019, </w:t>
      </w:r>
      <w:r w:rsidR="003D0F12">
        <w:rPr>
          <w:smallCaps/>
        </w:rPr>
        <w:t>L</w:t>
      </w:r>
      <w:r w:rsidR="00C27C33" w:rsidRPr="00C27C33">
        <w:t>172</w:t>
      </w:r>
      <w:r w:rsidR="00DD7101">
        <w:t xml:space="preserve"> (short title: Open data directive).</w:t>
      </w:r>
    </w:p>
  </w:footnote>
  <w:footnote w:id="16">
    <w:p w14:paraId="3D4163EC" w14:textId="7AD78C5F" w:rsidR="004E21DE" w:rsidRPr="009C2A6F" w:rsidRDefault="004E21DE" w:rsidP="004E21DE">
      <w:pPr>
        <w:pStyle w:val="FootnoteText"/>
      </w:pPr>
      <w:r w:rsidRPr="00DB39DC">
        <w:rPr>
          <w:rStyle w:val="FootnoteReference"/>
        </w:rPr>
        <w:footnoteRef/>
      </w:r>
      <w:r w:rsidRPr="00DB39DC">
        <w:t xml:space="preserve"> The other public good aspect is excludability (once produced the good benefits multiple actors because access to it is difficult to contro</w:t>
      </w:r>
      <w:r w:rsidRPr="005504AF">
        <w:t>l, in the case of info</w:t>
      </w:r>
      <w:r w:rsidRPr="009C2A6F">
        <w:t>rmation th</w:t>
      </w:r>
      <w:r>
        <w:t>is may be done by</w:t>
      </w:r>
      <w:r w:rsidRPr="009C2A6F">
        <w:t xml:space="preserve"> keeping it </w:t>
      </w:r>
      <w:r w:rsidR="00B06FED" w:rsidRPr="009C2A6F">
        <w:t>confidential or</w:t>
      </w:r>
      <w:r w:rsidRPr="009C2A6F">
        <w:t xml:space="preserve"> regulating access and use through contracts or technical measures). Intellectual property rights are an important instrument </w:t>
      </w:r>
      <w:r>
        <w:t>to</w:t>
      </w:r>
      <w:r w:rsidRPr="009C2A6F">
        <w:t xml:space="preserve"> artificially creat</w:t>
      </w:r>
      <w:r>
        <w:t>e</w:t>
      </w:r>
      <w:r w:rsidRPr="009C2A6F">
        <w:t xml:space="preserve"> excludability</w:t>
      </w:r>
      <w:r w:rsidR="006718C9">
        <w:t xml:space="preserve">. </w:t>
      </w:r>
    </w:p>
  </w:footnote>
  <w:footnote w:id="17">
    <w:p w14:paraId="0AA2E0E7" w14:textId="2AA6D86D" w:rsidR="00090C33" w:rsidRPr="009C2A6F" w:rsidRDefault="00090C33" w:rsidP="00090C33">
      <w:pPr>
        <w:pStyle w:val="FootnoteText"/>
      </w:pPr>
      <w:r w:rsidRPr="00DB39DC">
        <w:rPr>
          <w:rStyle w:val="FootnoteReference"/>
        </w:rPr>
        <w:footnoteRef/>
      </w:r>
      <w:r w:rsidRPr="00DB39DC">
        <w:t xml:space="preserve"> </w:t>
      </w:r>
      <w:r>
        <w:t xml:space="preserve">See </w:t>
      </w:r>
      <w:r w:rsidR="00B06FED">
        <w:t>e.g.,</w:t>
      </w:r>
      <w:r>
        <w:t xml:space="preserve"> studies</w:t>
      </w:r>
      <w:r w:rsidR="002B68A5">
        <w:t xml:space="preserve"> by </w:t>
      </w:r>
      <w:r w:rsidRPr="00DB39DC">
        <w:rPr>
          <w:rFonts w:eastAsia="PalatinoLinotype-Roman"/>
        </w:rPr>
        <w:t>M. De Vr</w:t>
      </w:r>
      <w:r w:rsidRPr="005504AF">
        <w:rPr>
          <w:rFonts w:eastAsia="PalatinoLinotype-Roman"/>
        </w:rPr>
        <w:t xml:space="preserve">ies et al., Pricing </w:t>
      </w:r>
      <w:r w:rsidR="001A67F9" w:rsidRPr="005504AF">
        <w:rPr>
          <w:rFonts w:eastAsia="PalatinoLinotype-Roman"/>
        </w:rPr>
        <w:t>of</w:t>
      </w:r>
      <w:r w:rsidRPr="005504AF">
        <w:rPr>
          <w:rFonts w:eastAsia="PalatinoLinotype-Roman"/>
        </w:rPr>
        <w:t xml:space="preserve"> Public Sector Information. Models of Supply and Charging for Public Sector Information. Final </w:t>
      </w:r>
      <w:r w:rsidR="00A37749" w:rsidRPr="005504AF">
        <w:rPr>
          <w:rFonts w:eastAsia="PalatinoLinotype-Roman"/>
        </w:rPr>
        <w:t>Report. Study</w:t>
      </w:r>
      <w:r w:rsidRPr="005504AF">
        <w:rPr>
          <w:rFonts w:eastAsia="PalatinoLinotype-Roman"/>
        </w:rPr>
        <w:t xml:space="preserve"> for the European Commission, DG Information Society. Brussels: Deloitte Consult</w:t>
      </w:r>
      <w:r w:rsidRPr="009C2A6F">
        <w:rPr>
          <w:rFonts w:eastAsia="PalatinoLinotype-Roman"/>
        </w:rPr>
        <w:t>ing 2011</w:t>
      </w:r>
      <w:r w:rsidR="002B68A5">
        <w:rPr>
          <w:rFonts w:eastAsia="PalatinoLinotype-Roman"/>
        </w:rPr>
        <w:t xml:space="preserve">; </w:t>
      </w:r>
      <w:r w:rsidR="00C42BFD" w:rsidRPr="00DB39DC">
        <w:t>R. Pollock, D. Newb</w:t>
      </w:r>
      <w:r w:rsidR="00C42BFD" w:rsidRPr="005504AF">
        <w:t>ery &amp; L. Bently, Models of Public Sector Information Prov</w:t>
      </w:r>
      <w:r w:rsidR="00C42BFD" w:rsidRPr="009C2A6F">
        <w:t>ision via Trading Funds. Study commissioned by UK government Department for Business, Enterprise and Regulatory Reform (BERR) and HM Treasury. Cambridge 2008</w:t>
      </w:r>
      <w:r w:rsidRPr="009C2A6F">
        <w:rPr>
          <w:rFonts w:eastAsia="PalatinoLinotype-Roman"/>
        </w:rPr>
        <w:t>.</w:t>
      </w:r>
    </w:p>
  </w:footnote>
  <w:footnote w:id="18">
    <w:p w14:paraId="71DC10C9" w14:textId="1797FE0F" w:rsidR="00844190" w:rsidRPr="00844190" w:rsidRDefault="00844190">
      <w:pPr>
        <w:pStyle w:val="FootnoteText"/>
        <w:rPr>
          <w:lang w:val="nl-NL"/>
        </w:rPr>
      </w:pPr>
      <w:r>
        <w:rPr>
          <w:rStyle w:val="FootnoteReference"/>
        </w:rPr>
        <w:footnoteRef/>
      </w:r>
      <w:r>
        <w:t xml:space="preserve"> </w:t>
      </w:r>
      <w:r w:rsidRPr="009C2A6F">
        <w:t xml:space="preserve">See for a </w:t>
      </w:r>
      <w:r>
        <w:t>short history</w:t>
      </w:r>
      <w:r w:rsidR="00157D25">
        <w:t xml:space="preserve"> (and the Dutch situation)</w:t>
      </w:r>
      <w:r w:rsidRPr="009C2A6F">
        <w:t xml:space="preserve">, M. van Eechoud, ‘Government Works’. In: P.B. Hugenholtz, A.A. Quaedvlieg &amp; D.J.G. Visser (Eds.). </w:t>
      </w:r>
      <w:r w:rsidRPr="009C2A6F">
        <w:rPr>
          <w:i/>
        </w:rPr>
        <w:t>A Century of Dutch Copyright Law. Auteurswet 1912-2012</w:t>
      </w:r>
      <w:r w:rsidRPr="009C2A6F">
        <w:t>, Amsterdam: Delex 2012.</w:t>
      </w:r>
    </w:p>
  </w:footnote>
  <w:footnote w:id="19">
    <w:p w14:paraId="076C0609" w14:textId="35F929F5" w:rsidR="001B5770" w:rsidRPr="00992FF5" w:rsidRDefault="001B5770" w:rsidP="001B5770">
      <w:pPr>
        <w:pStyle w:val="FootnoteText"/>
        <w:rPr>
          <w:lang w:val="nl-NL"/>
        </w:rPr>
      </w:pPr>
      <w:r>
        <w:rPr>
          <w:rStyle w:val="FootnoteReference"/>
        </w:rPr>
        <w:footnoteRef/>
      </w:r>
      <w:r>
        <w:t xml:space="preserve"> </w:t>
      </w:r>
      <w:r w:rsidRPr="00352688">
        <w:t xml:space="preserve">International Convention for the Protection of Performers, Producers of Phonograms and Broadcasting </w:t>
      </w:r>
      <w:r>
        <w:t>Organizations (Rome 1961); Convention for the Protection of Producers of Phonograms Against Unauthorized Duplication of Their Phonograms (Geneva 1971)</w:t>
      </w:r>
      <w:r w:rsidR="002F4757">
        <w:t>.</w:t>
      </w:r>
    </w:p>
  </w:footnote>
  <w:footnote w:id="20">
    <w:p w14:paraId="563042D6" w14:textId="77777777" w:rsidR="001B5770" w:rsidRPr="00755704" w:rsidRDefault="001B5770" w:rsidP="001B5770">
      <w:pPr>
        <w:pStyle w:val="FootnoteText"/>
      </w:pPr>
      <w:r w:rsidRPr="002F4757">
        <w:rPr>
          <w:rStyle w:val="FootnoteReference"/>
        </w:rPr>
        <w:footnoteRef/>
      </w:r>
      <w:r w:rsidRPr="00755704">
        <w:t xml:space="preserve"> Rome Convention 1961 defines phonogram as: “any exclusively aural fixation of sounds of a performance or of other sounds” (Art 3(b)) and phonogram producer as: “the person who, or the legal entity which, first fixes the sounds of a performance or other sounds).</w:t>
      </w:r>
    </w:p>
    <w:p w14:paraId="1480F518" w14:textId="77777777" w:rsidR="001B5770" w:rsidRPr="005D3B6F" w:rsidRDefault="001B5770" w:rsidP="001B5770">
      <w:pPr>
        <w:pStyle w:val="FootnoteText"/>
        <w:rPr>
          <w:u w:val="single"/>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0B5B" w14:textId="6571F6CC" w:rsidR="00C57BEC" w:rsidRPr="00C57BEC" w:rsidRDefault="00C57BEC" w:rsidP="00C57BEC">
    <w:pPr>
      <w:pStyle w:val="Header"/>
      <w:jc w:val="right"/>
      <w:rPr>
        <w:sz w:val="20"/>
        <w:szCs w:val="20"/>
        <w:lang w:val="nl-NL"/>
      </w:rPr>
    </w:pPr>
    <w:r w:rsidRPr="00C57BEC">
      <w:rPr>
        <w:sz w:val="20"/>
        <w:szCs w:val="20"/>
        <w:lang w:val="nl-NL"/>
      </w:rPr>
      <w:t xml:space="preserve">M. van </w:t>
    </w:r>
    <w:proofErr w:type="spellStart"/>
    <w:r w:rsidRPr="00C57BEC">
      <w:rPr>
        <w:sz w:val="20"/>
        <w:szCs w:val="20"/>
        <w:lang w:val="nl-NL"/>
      </w:rPr>
      <w:t>Eechoud</w:t>
    </w:r>
    <w:proofErr w:type="spellEnd"/>
    <w:r w:rsidR="00C67819">
      <w:rPr>
        <w:sz w:val="20"/>
        <w:szCs w:val="20"/>
        <w:lang w:val="nl-NL"/>
      </w:rPr>
      <w:t xml:space="preserve"> </w:t>
    </w:r>
    <w:proofErr w:type="spellStart"/>
    <w:r w:rsidR="00C67819">
      <w:rPr>
        <w:sz w:val="20"/>
        <w:szCs w:val="20"/>
        <w:lang w:val="nl-NL"/>
      </w:rPr>
      <w:t>def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04C8"/>
    <w:multiLevelType w:val="multilevel"/>
    <w:tmpl w:val="7EC6F47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3E296A87"/>
    <w:multiLevelType w:val="multilevel"/>
    <w:tmpl w:val="7A7A1116"/>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94A14F9"/>
    <w:multiLevelType w:val="hybridMultilevel"/>
    <w:tmpl w:val="92A8C8B0"/>
    <w:lvl w:ilvl="0" w:tplc="A58A2944">
      <w:start w:val="1"/>
      <w:numFmt w:val="bullet"/>
      <w:lvlText w:val="•"/>
      <w:lvlJc w:val="left"/>
      <w:pPr>
        <w:tabs>
          <w:tab w:val="num" w:pos="720"/>
        </w:tabs>
        <w:ind w:left="720" w:hanging="360"/>
      </w:pPr>
      <w:rPr>
        <w:rFonts w:ascii="Arial" w:hAnsi="Arial" w:hint="default"/>
      </w:rPr>
    </w:lvl>
    <w:lvl w:ilvl="1" w:tplc="A112D034" w:tentative="1">
      <w:start w:val="1"/>
      <w:numFmt w:val="bullet"/>
      <w:lvlText w:val="•"/>
      <w:lvlJc w:val="left"/>
      <w:pPr>
        <w:tabs>
          <w:tab w:val="num" w:pos="1440"/>
        </w:tabs>
        <w:ind w:left="1440" w:hanging="360"/>
      </w:pPr>
      <w:rPr>
        <w:rFonts w:ascii="Arial" w:hAnsi="Arial" w:hint="default"/>
      </w:rPr>
    </w:lvl>
    <w:lvl w:ilvl="2" w:tplc="D07EE9B6" w:tentative="1">
      <w:start w:val="1"/>
      <w:numFmt w:val="bullet"/>
      <w:lvlText w:val="•"/>
      <w:lvlJc w:val="left"/>
      <w:pPr>
        <w:tabs>
          <w:tab w:val="num" w:pos="2160"/>
        </w:tabs>
        <w:ind w:left="2160" w:hanging="360"/>
      </w:pPr>
      <w:rPr>
        <w:rFonts w:ascii="Arial" w:hAnsi="Arial" w:hint="default"/>
      </w:rPr>
    </w:lvl>
    <w:lvl w:ilvl="3" w:tplc="76E6C31C" w:tentative="1">
      <w:start w:val="1"/>
      <w:numFmt w:val="bullet"/>
      <w:lvlText w:val="•"/>
      <w:lvlJc w:val="left"/>
      <w:pPr>
        <w:tabs>
          <w:tab w:val="num" w:pos="2880"/>
        </w:tabs>
        <w:ind w:left="2880" w:hanging="360"/>
      </w:pPr>
      <w:rPr>
        <w:rFonts w:ascii="Arial" w:hAnsi="Arial" w:hint="default"/>
      </w:rPr>
    </w:lvl>
    <w:lvl w:ilvl="4" w:tplc="8C02C066" w:tentative="1">
      <w:start w:val="1"/>
      <w:numFmt w:val="bullet"/>
      <w:lvlText w:val="•"/>
      <w:lvlJc w:val="left"/>
      <w:pPr>
        <w:tabs>
          <w:tab w:val="num" w:pos="3600"/>
        </w:tabs>
        <w:ind w:left="3600" w:hanging="360"/>
      </w:pPr>
      <w:rPr>
        <w:rFonts w:ascii="Arial" w:hAnsi="Arial" w:hint="default"/>
      </w:rPr>
    </w:lvl>
    <w:lvl w:ilvl="5" w:tplc="7DD48A48" w:tentative="1">
      <w:start w:val="1"/>
      <w:numFmt w:val="bullet"/>
      <w:lvlText w:val="•"/>
      <w:lvlJc w:val="left"/>
      <w:pPr>
        <w:tabs>
          <w:tab w:val="num" w:pos="4320"/>
        </w:tabs>
        <w:ind w:left="4320" w:hanging="360"/>
      </w:pPr>
      <w:rPr>
        <w:rFonts w:ascii="Arial" w:hAnsi="Arial" w:hint="default"/>
      </w:rPr>
    </w:lvl>
    <w:lvl w:ilvl="6" w:tplc="5790AC7E" w:tentative="1">
      <w:start w:val="1"/>
      <w:numFmt w:val="bullet"/>
      <w:lvlText w:val="•"/>
      <w:lvlJc w:val="left"/>
      <w:pPr>
        <w:tabs>
          <w:tab w:val="num" w:pos="5040"/>
        </w:tabs>
        <w:ind w:left="5040" w:hanging="360"/>
      </w:pPr>
      <w:rPr>
        <w:rFonts w:ascii="Arial" w:hAnsi="Arial" w:hint="default"/>
      </w:rPr>
    </w:lvl>
    <w:lvl w:ilvl="7" w:tplc="EDD80C34" w:tentative="1">
      <w:start w:val="1"/>
      <w:numFmt w:val="bullet"/>
      <w:lvlText w:val="•"/>
      <w:lvlJc w:val="left"/>
      <w:pPr>
        <w:tabs>
          <w:tab w:val="num" w:pos="5760"/>
        </w:tabs>
        <w:ind w:left="5760" w:hanging="360"/>
      </w:pPr>
      <w:rPr>
        <w:rFonts w:ascii="Arial" w:hAnsi="Arial" w:hint="default"/>
      </w:rPr>
    </w:lvl>
    <w:lvl w:ilvl="8" w:tplc="73C6D8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60101F"/>
    <w:multiLevelType w:val="hybridMultilevel"/>
    <w:tmpl w:val="FFFFFFFF"/>
    <w:lvl w:ilvl="0" w:tplc="0DA28034">
      <w:start w:val="1"/>
      <w:numFmt w:val="bullet"/>
      <w:lvlText w:val="•"/>
      <w:lvlJc w:val="left"/>
      <w:pPr>
        <w:tabs>
          <w:tab w:val="num" w:pos="720"/>
        </w:tabs>
        <w:ind w:left="720" w:hanging="360"/>
      </w:pPr>
      <w:rPr>
        <w:rFonts w:ascii="Arial" w:hAnsi="Arial" w:hint="default"/>
      </w:rPr>
    </w:lvl>
    <w:lvl w:ilvl="1" w:tplc="EF44AE9C" w:tentative="1">
      <w:start w:val="1"/>
      <w:numFmt w:val="bullet"/>
      <w:lvlText w:val="•"/>
      <w:lvlJc w:val="left"/>
      <w:pPr>
        <w:tabs>
          <w:tab w:val="num" w:pos="1440"/>
        </w:tabs>
        <w:ind w:left="1440" w:hanging="360"/>
      </w:pPr>
      <w:rPr>
        <w:rFonts w:ascii="Arial" w:hAnsi="Arial" w:hint="default"/>
      </w:rPr>
    </w:lvl>
    <w:lvl w:ilvl="2" w:tplc="3AF6612E" w:tentative="1">
      <w:start w:val="1"/>
      <w:numFmt w:val="bullet"/>
      <w:lvlText w:val="•"/>
      <w:lvlJc w:val="left"/>
      <w:pPr>
        <w:tabs>
          <w:tab w:val="num" w:pos="2160"/>
        </w:tabs>
        <w:ind w:left="2160" w:hanging="360"/>
      </w:pPr>
      <w:rPr>
        <w:rFonts w:ascii="Arial" w:hAnsi="Arial" w:hint="default"/>
      </w:rPr>
    </w:lvl>
    <w:lvl w:ilvl="3" w:tplc="BDF63BA4" w:tentative="1">
      <w:start w:val="1"/>
      <w:numFmt w:val="bullet"/>
      <w:lvlText w:val="•"/>
      <w:lvlJc w:val="left"/>
      <w:pPr>
        <w:tabs>
          <w:tab w:val="num" w:pos="2880"/>
        </w:tabs>
        <w:ind w:left="2880" w:hanging="360"/>
      </w:pPr>
      <w:rPr>
        <w:rFonts w:ascii="Arial" w:hAnsi="Arial" w:hint="default"/>
      </w:rPr>
    </w:lvl>
    <w:lvl w:ilvl="4" w:tplc="67BAB4A8" w:tentative="1">
      <w:start w:val="1"/>
      <w:numFmt w:val="bullet"/>
      <w:lvlText w:val="•"/>
      <w:lvlJc w:val="left"/>
      <w:pPr>
        <w:tabs>
          <w:tab w:val="num" w:pos="3600"/>
        </w:tabs>
        <w:ind w:left="3600" w:hanging="360"/>
      </w:pPr>
      <w:rPr>
        <w:rFonts w:ascii="Arial" w:hAnsi="Arial" w:hint="default"/>
      </w:rPr>
    </w:lvl>
    <w:lvl w:ilvl="5" w:tplc="3A2C2360" w:tentative="1">
      <w:start w:val="1"/>
      <w:numFmt w:val="bullet"/>
      <w:lvlText w:val="•"/>
      <w:lvlJc w:val="left"/>
      <w:pPr>
        <w:tabs>
          <w:tab w:val="num" w:pos="4320"/>
        </w:tabs>
        <w:ind w:left="4320" w:hanging="360"/>
      </w:pPr>
      <w:rPr>
        <w:rFonts w:ascii="Arial" w:hAnsi="Arial" w:hint="default"/>
      </w:rPr>
    </w:lvl>
    <w:lvl w:ilvl="6" w:tplc="7B8E7A28" w:tentative="1">
      <w:start w:val="1"/>
      <w:numFmt w:val="bullet"/>
      <w:lvlText w:val="•"/>
      <w:lvlJc w:val="left"/>
      <w:pPr>
        <w:tabs>
          <w:tab w:val="num" w:pos="5040"/>
        </w:tabs>
        <w:ind w:left="5040" w:hanging="360"/>
      </w:pPr>
      <w:rPr>
        <w:rFonts w:ascii="Arial" w:hAnsi="Arial" w:hint="default"/>
      </w:rPr>
    </w:lvl>
    <w:lvl w:ilvl="7" w:tplc="C1905614" w:tentative="1">
      <w:start w:val="1"/>
      <w:numFmt w:val="bullet"/>
      <w:lvlText w:val="•"/>
      <w:lvlJc w:val="left"/>
      <w:pPr>
        <w:tabs>
          <w:tab w:val="num" w:pos="5760"/>
        </w:tabs>
        <w:ind w:left="5760" w:hanging="360"/>
      </w:pPr>
      <w:rPr>
        <w:rFonts w:ascii="Arial" w:hAnsi="Arial" w:hint="default"/>
      </w:rPr>
    </w:lvl>
    <w:lvl w:ilvl="8" w:tplc="CEB488A2" w:tentative="1">
      <w:start w:val="1"/>
      <w:numFmt w:val="bullet"/>
      <w:lvlText w:val="•"/>
      <w:lvlJc w:val="left"/>
      <w:pPr>
        <w:tabs>
          <w:tab w:val="num" w:pos="6480"/>
        </w:tabs>
        <w:ind w:left="6480" w:hanging="360"/>
      </w:pPr>
      <w:rPr>
        <w:rFonts w:ascii="Arial" w:hAnsi="Arial" w:hint="default"/>
      </w:rPr>
    </w:lvl>
  </w:abstractNum>
  <w:num w:numId="1" w16cid:durableId="1337152231">
    <w:abstractNumId w:val="1"/>
  </w:num>
  <w:num w:numId="2" w16cid:durableId="1726098004">
    <w:abstractNumId w:val="0"/>
  </w:num>
  <w:num w:numId="3" w16cid:durableId="1687638572">
    <w:abstractNumId w:val="2"/>
  </w:num>
  <w:num w:numId="4" w16cid:durableId="4044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28"/>
    <w:rsid w:val="000014E5"/>
    <w:rsid w:val="000022A3"/>
    <w:rsid w:val="000051B4"/>
    <w:rsid w:val="000073C4"/>
    <w:rsid w:val="00012C02"/>
    <w:rsid w:val="00015DE2"/>
    <w:rsid w:val="000217A3"/>
    <w:rsid w:val="00023572"/>
    <w:rsid w:val="00025C41"/>
    <w:rsid w:val="0003278A"/>
    <w:rsid w:val="00037794"/>
    <w:rsid w:val="00040855"/>
    <w:rsid w:val="00045123"/>
    <w:rsid w:val="00045935"/>
    <w:rsid w:val="00045B28"/>
    <w:rsid w:val="00052A8E"/>
    <w:rsid w:val="00060105"/>
    <w:rsid w:val="00063CFB"/>
    <w:rsid w:val="00070E4F"/>
    <w:rsid w:val="00071395"/>
    <w:rsid w:val="00074208"/>
    <w:rsid w:val="00082D47"/>
    <w:rsid w:val="00083AC6"/>
    <w:rsid w:val="000847A1"/>
    <w:rsid w:val="00090C33"/>
    <w:rsid w:val="00092B32"/>
    <w:rsid w:val="00095048"/>
    <w:rsid w:val="000A3CD9"/>
    <w:rsid w:val="000A403E"/>
    <w:rsid w:val="000B04C8"/>
    <w:rsid w:val="000B1567"/>
    <w:rsid w:val="000B7B85"/>
    <w:rsid w:val="000C2864"/>
    <w:rsid w:val="000C2AF7"/>
    <w:rsid w:val="000C33B5"/>
    <w:rsid w:val="000C6C28"/>
    <w:rsid w:val="000E5112"/>
    <w:rsid w:val="000E5DED"/>
    <w:rsid w:val="000E76EE"/>
    <w:rsid w:val="000E7A41"/>
    <w:rsid w:val="00101006"/>
    <w:rsid w:val="001020BE"/>
    <w:rsid w:val="001034FD"/>
    <w:rsid w:val="00105797"/>
    <w:rsid w:val="00106049"/>
    <w:rsid w:val="00106E46"/>
    <w:rsid w:val="00110275"/>
    <w:rsid w:val="00111899"/>
    <w:rsid w:val="001132A5"/>
    <w:rsid w:val="00124C1D"/>
    <w:rsid w:val="00126C9B"/>
    <w:rsid w:val="00131319"/>
    <w:rsid w:val="00134689"/>
    <w:rsid w:val="00134850"/>
    <w:rsid w:val="0014707B"/>
    <w:rsid w:val="00147FB0"/>
    <w:rsid w:val="00150E61"/>
    <w:rsid w:val="00151AA2"/>
    <w:rsid w:val="00155476"/>
    <w:rsid w:val="00155ADC"/>
    <w:rsid w:val="00156765"/>
    <w:rsid w:val="00157D25"/>
    <w:rsid w:val="001618D0"/>
    <w:rsid w:val="00163FE5"/>
    <w:rsid w:val="00170181"/>
    <w:rsid w:val="00171C00"/>
    <w:rsid w:val="00172DC2"/>
    <w:rsid w:val="00180838"/>
    <w:rsid w:val="00180AE1"/>
    <w:rsid w:val="0018306D"/>
    <w:rsid w:val="00183962"/>
    <w:rsid w:val="001877C2"/>
    <w:rsid w:val="00194CFC"/>
    <w:rsid w:val="001959C4"/>
    <w:rsid w:val="00196B89"/>
    <w:rsid w:val="001A67F9"/>
    <w:rsid w:val="001B5438"/>
    <w:rsid w:val="001B5770"/>
    <w:rsid w:val="001C191D"/>
    <w:rsid w:val="001C27C4"/>
    <w:rsid w:val="001C5123"/>
    <w:rsid w:val="001C6B79"/>
    <w:rsid w:val="001C7DFD"/>
    <w:rsid w:val="001D0B82"/>
    <w:rsid w:val="001D17F7"/>
    <w:rsid w:val="001D1ED3"/>
    <w:rsid w:val="001E55EA"/>
    <w:rsid w:val="001E6D8A"/>
    <w:rsid w:val="001F0EE1"/>
    <w:rsid w:val="001F3940"/>
    <w:rsid w:val="001F51E8"/>
    <w:rsid w:val="001F5CCB"/>
    <w:rsid w:val="00200CAC"/>
    <w:rsid w:val="00202A29"/>
    <w:rsid w:val="00203796"/>
    <w:rsid w:val="0020713A"/>
    <w:rsid w:val="00212D10"/>
    <w:rsid w:val="0021314D"/>
    <w:rsid w:val="00215AD6"/>
    <w:rsid w:val="00220BBE"/>
    <w:rsid w:val="00220DA2"/>
    <w:rsid w:val="00221D58"/>
    <w:rsid w:val="002264BF"/>
    <w:rsid w:val="00230EE6"/>
    <w:rsid w:val="00233B82"/>
    <w:rsid w:val="00235F2D"/>
    <w:rsid w:val="00240912"/>
    <w:rsid w:val="00242C7C"/>
    <w:rsid w:val="00244623"/>
    <w:rsid w:val="00245C22"/>
    <w:rsid w:val="00253673"/>
    <w:rsid w:val="002561EE"/>
    <w:rsid w:val="00265566"/>
    <w:rsid w:val="002744AE"/>
    <w:rsid w:val="00275521"/>
    <w:rsid w:val="00286B3B"/>
    <w:rsid w:val="00291299"/>
    <w:rsid w:val="00293CD4"/>
    <w:rsid w:val="0029426E"/>
    <w:rsid w:val="00296906"/>
    <w:rsid w:val="00297AA4"/>
    <w:rsid w:val="002A133C"/>
    <w:rsid w:val="002B0ADE"/>
    <w:rsid w:val="002B0B44"/>
    <w:rsid w:val="002B1889"/>
    <w:rsid w:val="002B1BDA"/>
    <w:rsid w:val="002B55E9"/>
    <w:rsid w:val="002B68A5"/>
    <w:rsid w:val="002C4CC9"/>
    <w:rsid w:val="002C5160"/>
    <w:rsid w:val="002D4758"/>
    <w:rsid w:val="002D4892"/>
    <w:rsid w:val="002D4B0E"/>
    <w:rsid w:val="002D5E1F"/>
    <w:rsid w:val="002D6832"/>
    <w:rsid w:val="002E038A"/>
    <w:rsid w:val="002E12DA"/>
    <w:rsid w:val="002E22FB"/>
    <w:rsid w:val="002E4DCC"/>
    <w:rsid w:val="002E4FB9"/>
    <w:rsid w:val="002E5F0E"/>
    <w:rsid w:val="002F278F"/>
    <w:rsid w:val="002F4757"/>
    <w:rsid w:val="002F5331"/>
    <w:rsid w:val="002F6CB7"/>
    <w:rsid w:val="002F7258"/>
    <w:rsid w:val="0030362B"/>
    <w:rsid w:val="0030376F"/>
    <w:rsid w:val="0030784D"/>
    <w:rsid w:val="00307AA8"/>
    <w:rsid w:val="00316A24"/>
    <w:rsid w:val="00317EBC"/>
    <w:rsid w:val="00321D27"/>
    <w:rsid w:val="003230E8"/>
    <w:rsid w:val="00326913"/>
    <w:rsid w:val="00327394"/>
    <w:rsid w:val="003325F3"/>
    <w:rsid w:val="00340515"/>
    <w:rsid w:val="00345823"/>
    <w:rsid w:val="00347756"/>
    <w:rsid w:val="00347B57"/>
    <w:rsid w:val="00350EA8"/>
    <w:rsid w:val="00352320"/>
    <w:rsid w:val="00352688"/>
    <w:rsid w:val="00353FFA"/>
    <w:rsid w:val="00355370"/>
    <w:rsid w:val="00356F1C"/>
    <w:rsid w:val="00366947"/>
    <w:rsid w:val="00371070"/>
    <w:rsid w:val="003745E0"/>
    <w:rsid w:val="003810E6"/>
    <w:rsid w:val="00383D53"/>
    <w:rsid w:val="003A1EC6"/>
    <w:rsid w:val="003A26AA"/>
    <w:rsid w:val="003A34B0"/>
    <w:rsid w:val="003A3E00"/>
    <w:rsid w:val="003A4924"/>
    <w:rsid w:val="003A5A31"/>
    <w:rsid w:val="003A6FA8"/>
    <w:rsid w:val="003B681C"/>
    <w:rsid w:val="003B68A2"/>
    <w:rsid w:val="003D0F12"/>
    <w:rsid w:val="003D1F09"/>
    <w:rsid w:val="003E6D44"/>
    <w:rsid w:val="003E706C"/>
    <w:rsid w:val="003F0387"/>
    <w:rsid w:val="003F0A87"/>
    <w:rsid w:val="003F2272"/>
    <w:rsid w:val="003F4237"/>
    <w:rsid w:val="003F641B"/>
    <w:rsid w:val="003F7016"/>
    <w:rsid w:val="0040380D"/>
    <w:rsid w:val="00405E0C"/>
    <w:rsid w:val="00415614"/>
    <w:rsid w:val="004166E2"/>
    <w:rsid w:val="004177C8"/>
    <w:rsid w:val="00423F47"/>
    <w:rsid w:val="0042438F"/>
    <w:rsid w:val="00425592"/>
    <w:rsid w:val="00427860"/>
    <w:rsid w:val="00440313"/>
    <w:rsid w:val="0044445E"/>
    <w:rsid w:val="00445FF6"/>
    <w:rsid w:val="00446BD7"/>
    <w:rsid w:val="00452718"/>
    <w:rsid w:val="00455F2B"/>
    <w:rsid w:val="00456A44"/>
    <w:rsid w:val="00462250"/>
    <w:rsid w:val="00462FDB"/>
    <w:rsid w:val="00463A80"/>
    <w:rsid w:val="00467DB1"/>
    <w:rsid w:val="004723E4"/>
    <w:rsid w:val="0047315B"/>
    <w:rsid w:val="00480729"/>
    <w:rsid w:val="004841CD"/>
    <w:rsid w:val="00485038"/>
    <w:rsid w:val="0048692E"/>
    <w:rsid w:val="0048771F"/>
    <w:rsid w:val="00490040"/>
    <w:rsid w:val="00495A64"/>
    <w:rsid w:val="0049670D"/>
    <w:rsid w:val="00497262"/>
    <w:rsid w:val="0049759E"/>
    <w:rsid w:val="00497B77"/>
    <w:rsid w:val="004A0A63"/>
    <w:rsid w:val="004A3DD1"/>
    <w:rsid w:val="004B3A6A"/>
    <w:rsid w:val="004B4471"/>
    <w:rsid w:val="004B63D9"/>
    <w:rsid w:val="004C029C"/>
    <w:rsid w:val="004C2AE6"/>
    <w:rsid w:val="004D2D44"/>
    <w:rsid w:val="004E193B"/>
    <w:rsid w:val="004E21DE"/>
    <w:rsid w:val="004E6127"/>
    <w:rsid w:val="004F05A0"/>
    <w:rsid w:val="004F0D71"/>
    <w:rsid w:val="004F7E45"/>
    <w:rsid w:val="005011CF"/>
    <w:rsid w:val="00502D62"/>
    <w:rsid w:val="005115FD"/>
    <w:rsid w:val="00511C60"/>
    <w:rsid w:val="005162A3"/>
    <w:rsid w:val="00521E00"/>
    <w:rsid w:val="005225EF"/>
    <w:rsid w:val="0052308E"/>
    <w:rsid w:val="0052443D"/>
    <w:rsid w:val="005245C9"/>
    <w:rsid w:val="0052543C"/>
    <w:rsid w:val="00525E58"/>
    <w:rsid w:val="00531190"/>
    <w:rsid w:val="005339EE"/>
    <w:rsid w:val="00537956"/>
    <w:rsid w:val="00537ACD"/>
    <w:rsid w:val="00540140"/>
    <w:rsid w:val="00544143"/>
    <w:rsid w:val="00552C00"/>
    <w:rsid w:val="00553780"/>
    <w:rsid w:val="005550C5"/>
    <w:rsid w:val="00560371"/>
    <w:rsid w:val="00564793"/>
    <w:rsid w:val="005658F9"/>
    <w:rsid w:val="00565A4F"/>
    <w:rsid w:val="00567ABA"/>
    <w:rsid w:val="00571E1E"/>
    <w:rsid w:val="0057462B"/>
    <w:rsid w:val="00582408"/>
    <w:rsid w:val="0058629C"/>
    <w:rsid w:val="00591D0C"/>
    <w:rsid w:val="00595379"/>
    <w:rsid w:val="00597BCC"/>
    <w:rsid w:val="005A26DE"/>
    <w:rsid w:val="005A4B67"/>
    <w:rsid w:val="005B28EA"/>
    <w:rsid w:val="005B411E"/>
    <w:rsid w:val="005B618D"/>
    <w:rsid w:val="005C36E5"/>
    <w:rsid w:val="005C63B0"/>
    <w:rsid w:val="005C6ED3"/>
    <w:rsid w:val="005D06D8"/>
    <w:rsid w:val="005D1EAC"/>
    <w:rsid w:val="005D280B"/>
    <w:rsid w:val="005D32D1"/>
    <w:rsid w:val="005D3B6F"/>
    <w:rsid w:val="005D7690"/>
    <w:rsid w:val="005D7B05"/>
    <w:rsid w:val="005E67A4"/>
    <w:rsid w:val="005E6BF1"/>
    <w:rsid w:val="005E7B18"/>
    <w:rsid w:val="005F54EC"/>
    <w:rsid w:val="006021BF"/>
    <w:rsid w:val="00602506"/>
    <w:rsid w:val="0060534E"/>
    <w:rsid w:val="00610B03"/>
    <w:rsid w:val="006113D9"/>
    <w:rsid w:val="0061253B"/>
    <w:rsid w:val="006127A0"/>
    <w:rsid w:val="00613914"/>
    <w:rsid w:val="0061530C"/>
    <w:rsid w:val="00630BEA"/>
    <w:rsid w:val="00632863"/>
    <w:rsid w:val="006328C7"/>
    <w:rsid w:val="006346E8"/>
    <w:rsid w:val="0063747F"/>
    <w:rsid w:val="006433A3"/>
    <w:rsid w:val="00645389"/>
    <w:rsid w:val="00653D3E"/>
    <w:rsid w:val="00653F3C"/>
    <w:rsid w:val="00654DC0"/>
    <w:rsid w:val="00656402"/>
    <w:rsid w:val="0066252C"/>
    <w:rsid w:val="006647AB"/>
    <w:rsid w:val="00670686"/>
    <w:rsid w:val="00670D1F"/>
    <w:rsid w:val="006718C9"/>
    <w:rsid w:val="0067410A"/>
    <w:rsid w:val="006775DB"/>
    <w:rsid w:val="0068466C"/>
    <w:rsid w:val="00684CE3"/>
    <w:rsid w:val="00686243"/>
    <w:rsid w:val="006906A2"/>
    <w:rsid w:val="00694753"/>
    <w:rsid w:val="006A06EF"/>
    <w:rsid w:val="006A1A6C"/>
    <w:rsid w:val="006A3D4A"/>
    <w:rsid w:val="006A46E5"/>
    <w:rsid w:val="006B02AC"/>
    <w:rsid w:val="006B0907"/>
    <w:rsid w:val="006B1410"/>
    <w:rsid w:val="006B41EE"/>
    <w:rsid w:val="006C130C"/>
    <w:rsid w:val="006C4A4C"/>
    <w:rsid w:val="006C7DD6"/>
    <w:rsid w:val="006C7E03"/>
    <w:rsid w:val="006D223F"/>
    <w:rsid w:val="006D2DE2"/>
    <w:rsid w:val="006D4626"/>
    <w:rsid w:val="006D6DF1"/>
    <w:rsid w:val="006E0B69"/>
    <w:rsid w:val="006E1FF5"/>
    <w:rsid w:val="006E633B"/>
    <w:rsid w:val="006E7887"/>
    <w:rsid w:val="006E7AA4"/>
    <w:rsid w:val="006F1CDD"/>
    <w:rsid w:val="006F223F"/>
    <w:rsid w:val="006F3138"/>
    <w:rsid w:val="006F33C6"/>
    <w:rsid w:val="006F5274"/>
    <w:rsid w:val="006F533B"/>
    <w:rsid w:val="007035CE"/>
    <w:rsid w:val="0070545E"/>
    <w:rsid w:val="007062C0"/>
    <w:rsid w:val="00710B72"/>
    <w:rsid w:val="00712D08"/>
    <w:rsid w:val="00715C51"/>
    <w:rsid w:val="00717325"/>
    <w:rsid w:val="0072598F"/>
    <w:rsid w:val="00726E4A"/>
    <w:rsid w:val="007301A3"/>
    <w:rsid w:val="00733339"/>
    <w:rsid w:val="00734C5C"/>
    <w:rsid w:val="00737031"/>
    <w:rsid w:val="007376E1"/>
    <w:rsid w:val="00744191"/>
    <w:rsid w:val="007513AC"/>
    <w:rsid w:val="00752AB2"/>
    <w:rsid w:val="00752C02"/>
    <w:rsid w:val="00753D59"/>
    <w:rsid w:val="007545F5"/>
    <w:rsid w:val="00755704"/>
    <w:rsid w:val="00757585"/>
    <w:rsid w:val="00762DEF"/>
    <w:rsid w:val="0076732E"/>
    <w:rsid w:val="00767B22"/>
    <w:rsid w:val="00772729"/>
    <w:rsid w:val="00774929"/>
    <w:rsid w:val="00776ECE"/>
    <w:rsid w:val="00777455"/>
    <w:rsid w:val="007907F4"/>
    <w:rsid w:val="00794CA7"/>
    <w:rsid w:val="00795183"/>
    <w:rsid w:val="00795C95"/>
    <w:rsid w:val="007A0AA9"/>
    <w:rsid w:val="007A2D8B"/>
    <w:rsid w:val="007A2F94"/>
    <w:rsid w:val="007A3667"/>
    <w:rsid w:val="007B25C7"/>
    <w:rsid w:val="007B47F8"/>
    <w:rsid w:val="007C03CA"/>
    <w:rsid w:val="007C0563"/>
    <w:rsid w:val="007C0955"/>
    <w:rsid w:val="007C22A1"/>
    <w:rsid w:val="007C4721"/>
    <w:rsid w:val="007C4884"/>
    <w:rsid w:val="007C63DF"/>
    <w:rsid w:val="007C7167"/>
    <w:rsid w:val="007D00BA"/>
    <w:rsid w:val="007D1CAD"/>
    <w:rsid w:val="007D2303"/>
    <w:rsid w:val="007E1DEC"/>
    <w:rsid w:val="007E1EE3"/>
    <w:rsid w:val="007E23A1"/>
    <w:rsid w:val="007E3050"/>
    <w:rsid w:val="007E3BED"/>
    <w:rsid w:val="007E5556"/>
    <w:rsid w:val="007E55D7"/>
    <w:rsid w:val="007F14F5"/>
    <w:rsid w:val="007F3FB3"/>
    <w:rsid w:val="007F617E"/>
    <w:rsid w:val="007F6D44"/>
    <w:rsid w:val="00801BA2"/>
    <w:rsid w:val="00804898"/>
    <w:rsid w:val="0080705B"/>
    <w:rsid w:val="008145D9"/>
    <w:rsid w:val="00817CA9"/>
    <w:rsid w:val="008205F9"/>
    <w:rsid w:val="0082220F"/>
    <w:rsid w:val="00825B4F"/>
    <w:rsid w:val="00832790"/>
    <w:rsid w:val="00836D40"/>
    <w:rsid w:val="008438D0"/>
    <w:rsid w:val="00844190"/>
    <w:rsid w:val="00844C3C"/>
    <w:rsid w:val="008556DB"/>
    <w:rsid w:val="0085691B"/>
    <w:rsid w:val="0086377C"/>
    <w:rsid w:val="008659D9"/>
    <w:rsid w:val="00872D7C"/>
    <w:rsid w:val="008748B0"/>
    <w:rsid w:val="00877A92"/>
    <w:rsid w:val="008803DF"/>
    <w:rsid w:val="00881BA5"/>
    <w:rsid w:val="0088268E"/>
    <w:rsid w:val="00883796"/>
    <w:rsid w:val="00883D0C"/>
    <w:rsid w:val="0088530E"/>
    <w:rsid w:val="00885CDB"/>
    <w:rsid w:val="008877DC"/>
    <w:rsid w:val="00896FFE"/>
    <w:rsid w:val="00897E69"/>
    <w:rsid w:val="008A0187"/>
    <w:rsid w:val="008A52A2"/>
    <w:rsid w:val="008B002D"/>
    <w:rsid w:val="008B2439"/>
    <w:rsid w:val="008B27E8"/>
    <w:rsid w:val="008B3CF1"/>
    <w:rsid w:val="008B462B"/>
    <w:rsid w:val="008B56C4"/>
    <w:rsid w:val="008B59A9"/>
    <w:rsid w:val="008C0F5B"/>
    <w:rsid w:val="008C1A30"/>
    <w:rsid w:val="008C5FAA"/>
    <w:rsid w:val="008D0574"/>
    <w:rsid w:val="008D07BF"/>
    <w:rsid w:val="008D3256"/>
    <w:rsid w:val="008D730E"/>
    <w:rsid w:val="008E026B"/>
    <w:rsid w:val="008E060B"/>
    <w:rsid w:val="008E59C2"/>
    <w:rsid w:val="008F1C39"/>
    <w:rsid w:val="008F26A6"/>
    <w:rsid w:val="008F652C"/>
    <w:rsid w:val="00904FC0"/>
    <w:rsid w:val="00906393"/>
    <w:rsid w:val="00910713"/>
    <w:rsid w:val="009110BC"/>
    <w:rsid w:val="00911524"/>
    <w:rsid w:val="00912FAB"/>
    <w:rsid w:val="00914A69"/>
    <w:rsid w:val="00920881"/>
    <w:rsid w:val="00923AD6"/>
    <w:rsid w:val="00926B25"/>
    <w:rsid w:val="009274A6"/>
    <w:rsid w:val="00927936"/>
    <w:rsid w:val="009305DF"/>
    <w:rsid w:val="009327A3"/>
    <w:rsid w:val="009427AD"/>
    <w:rsid w:val="00945427"/>
    <w:rsid w:val="009467C6"/>
    <w:rsid w:val="00946A7A"/>
    <w:rsid w:val="009514E9"/>
    <w:rsid w:val="00952323"/>
    <w:rsid w:val="0095312A"/>
    <w:rsid w:val="009533DA"/>
    <w:rsid w:val="00955E6F"/>
    <w:rsid w:val="009562C8"/>
    <w:rsid w:val="00961B97"/>
    <w:rsid w:val="00962856"/>
    <w:rsid w:val="0096486F"/>
    <w:rsid w:val="009743CD"/>
    <w:rsid w:val="0097469C"/>
    <w:rsid w:val="00982761"/>
    <w:rsid w:val="009865FE"/>
    <w:rsid w:val="00992E49"/>
    <w:rsid w:val="00992FF5"/>
    <w:rsid w:val="00994D6A"/>
    <w:rsid w:val="009A18B7"/>
    <w:rsid w:val="009A1B57"/>
    <w:rsid w:val="009A3433"/>
    <w:rsid w:val="009A6C52"/>
    <w:rsid w:val="009B0411"/>
    <w:rsid w:val="009B2AEE"/>
    <w:rsid w:val="009B3F7D"/>
    <w:rsid w:val="009B45AD"/>
    <w:rsid w:val="009C23BE"/>
    <w:rsid w:val="009C2453"/>
    <w:rsid w:val="009C670C"/>
    <w:rsid w:val="009C7434"/>
    <w:rsid w:val="009D24C2"/>
    <w:rsid w:val="009D35B5"/>
    <w:rsid w:val="009D6EA2"/>
    <w:rsid w:val="009E2179"/>
    <w:rsid w:val="009E24CD"/>
    <w:rsid w:val="009E37FF"/>
    <w:rsid w:val="009E59E8"/>
    <w:rsid w:val="009E6DC5"/>
    <w:rsid w:val="009F7646"/>
    <w:rsid w:val="00A067EC"/>
    <w:rsid w:val="00A1116C"/>
    <w:rsid w:val="00A12157"/>
    <w:rsid w:val="00A2693E"/>
    <w:rsid w:val="00A36160"/>
    <w:rsid w:val="00A37749"/>
    <w:rsid w:val="00A424F5"/>
    <w:rsid w:val="00A428E6"/>
    <w:rsid w:val="00A50266"/>
    <w:rsid w:val="00A515A3"/>
    <w:rsid w:val="00A54781"/>
    <w:rsid w:val="00A54D05"/>
    <w:rsid w:val="00A554E9"/>
    <w:rsid w:val="00A57E97"/>
    <w:rsid w:val="00A61656"/>
    <w:rsid w:val="00A67814"/>
    <w:rsid w:val="00A72934"/>
    <w:rsid w:val="00A73F39"/>
    <w:rsid w:val="00A75FE1"/>
    <w:rsid w:val="00A867B6"/>
    <w:rsid w:val="00A87699"/>
    <w:rsid w:val="00A87B89"/>
    <w:rsid w:val="00A90BBA"/>
    <w:rsid w:val="00A914B4"/>
    <w:rsid w:val="00A91579"/>
    <w:rsid w:val="00A94A92"/>
    <w:rsid w:val="00A95380"/>
    <w:rsid w:val="00A95F82"/>
    <w:rsid w:val="00AA0649"/>
    <w:rsid w:val="00AA09D7"/>
    <w:rsid w:val="00AA1232"/>
    <w:rsid w:val="00AA1A47"/>
    <w:rsid w:val="00AA65BC"/>
    <w:rsid w:val="00AB34E1"/>
    <w:rsid w:val="00AB673E"/>
    <w:rsid w:val="00AC2641"/>
    <w:rsid w:val="00AC290C"/>
    <w:rsid w:val="00AD4818"/>
    <w:rsid w:val="00AE2F1A"/>
    <w:rsid w:val="00AE4782"/>
    <w:rsid w:val="00AF4F67"/>
    <w:rsid w:val="00AF57AC"/>
    <w:rsid w:val="00AF7FE4"/>
    <w:rsid w:val="00B04A22"/>
    <w:rsid w:val="00B06FED"/>
    <w:rsid w:val="00B12579"/>
    <w:rsid w:val="00B1398D"/>
    <w:rsid w:val="00B16EF8"/>
    <w:rsid w:val="00B23C36"/>
    <w:rsid w:val="00B2594D"/>
    <w:rsid w:val="00B26D55"/>
    <w:rsid w:val="00B27729"/>
    <w:rsid w:val="00B3094E"/>
    <w:rsid w:val="00B37C26"/>
    <w:rsid w:val="00B50869"/>
    <w:rsid w:val="00B55D88"/>
    <w:rsid w:val="00B63973"/>
    <w:rsid w:val="00B63DF3"/>
    <w:rsid w:val="00B64B05"/>
    <w:rsid w:val="00B73DEF"/>
    <w:rsid w:val="00B741AB"/>
    <w:rsid w:val="00B76C63"/>
    <w:rsid w:val="00B779A5"/>
    <w:rsid w:val="00B9071D"/>
    <w:rsid w:val="00B94090"/>
    <w:rsid w:val="00B9690A"/>
    <w:rsid w:val="00BA2353"/>
    <w:rsid w:val="00BB5A4F"/>
    <w:rsid w:val="00BC3CD2"/>
    <w:rsid w:val="00BD1235"/>
    <w:rsid w:val="00BD2A30"/>
    <w:rsid w:val="00BD4938"/>
    <w:rsid w:val="00BD4C3E"/>
    <w:rsid w:val="00BE4463"/>
    <w:rsid w:val="00BF0B03"/>
    <w:rsid w:val="00C0282E"/>
    <w:rsid w:val="00C0395D"/>
    <w:rsid w:val="00C04267"/>
    <w:rsid w:val="00C1200B"/>
    <w:rsid w:val="00C16A26"/>
    <w:rsid w:val="00C16C13"/>
    <w:rsid w:val="00C21104"/>
    <w:rsid w:val="00C236BC"/>
    <w:rsid w:val="00C24AC5"/>
    <w:rsid w:val="00C27C33"/>
    <w:rsid w:val="00C42BFD"/>
    <w:rsid w:val="00C45D1F"/>
    <w:rsid w:val="00C468AB"/>
    <w:rsid w:val="00C55F61"/>
    <w:rsid w:val="00C57BEC"/>
    <w:rsid w:val="00C62714"/>
    <w:rsid w:val="00C634E5"/>
    <w:rsid w:val="00C67819"/>
    <w:rsid w:val="00C72001"/>
    <w:rsid w:val="00C7212D"/>
    <w:rsid w:val="00C72B95"/>
    <w:rsid w:val="00C7405B"/>
    <w:rsid w:val="00C755AA"/>
    <w:rsid w:val="00C77FF9"/>
    <w:rsid w:val="00C81309"/>
    <w:rsid w:val="00C815BB"/>
    <w:rsid w:val="00C90A64"/>
    <w:rsid w:val="00C91C20"/>
    <w:rsid w:val="00C94A8A"/>
    <w:rsid w:val="00CA39CC"/>
    <w:rsid w:val="00CA6200"/>
    <w:rsid w:val="00CB4C70"/>
    <w:rsid w:val="00CC29B5"/>
    <w:rsid w:val="00CC68F9"/>
    <w:rsid w:val="00CD08B0"/>
    <w:rsid w:val="00CD3004"/>
    <w:rsid w:val="00CD5070"/>
    <w:rsid w:val="00CE03DA"/>
    <w:rsid w:val="00CE298C"/>
    <w:rsid w:val="00CE3DB7"/>
    <w:rsid w:val="00CE614B"/>
    <w:rsid w:val="00CE7459"/>
    <w:rsid w:val="00CF0357"/>
    <w:rsid w:val="00CF27D7"/>
    <w:rsid w:val="00CF306F"/>
    <w:rsid w:val="00CF3CA0"/>
    <w:rsid w:val="00CF5330"/>
    <w:rsid w:val="00CF6189"/>
    <w:rsid w:val="00D03C2E"/>
    <w:rsid w:val="00D042F0"/>
    <w:rsid w:val="00D106EE"/>
    <w:rsid w:val="00D12239"/>
    <w:rsid w:val="00D13590"/>
    <w:rsid w:val="00D255D3"/>
    <w:rsid w:val="00D25AFD"/>
    <w:rsid w:val="00D30FEF"/>
    <w:rsid w:val="00D3447A"/>
    <w:rsid w:val="00D3558B"/>
    <w:rsid w:val="00D40C3E"/>
    <w:rsid w:val="00D431BB"/>
    <w:rsid w:val="00D45675"/>
    <w:rsid w:val="00D459A3"/>
    <w:rsid w:val="00D47DDF"/>
    <w:rsid w:val="00D53E59"/>
    <w:rsid w:val="00D5699F"/>
    <w:rsid w:val="00D60419"/>
    <w:rsid w:val="00D65A01"/>
    <w:rsid w:val="00D65C3C"/>
    <w:rsid w:val="00D66028"/>
    <w:rsid w:val="00D6746E"/>
    <w:rsid w:val="00D71593"/>
    <w:rsid w:val="00D72B84"/>
    <w:rsid w:val="00D7329A"/>
    <w:rsid w:val="00D81207"/>
    <w:rsid w:val="00D83C67"/>
    <w:rsid w:val="00D84081"/>
    <w:rsid w:val="00D8658B"/>
    <w:rsid w:val="00D86DC5"/>
    <w:rsid w:val="00D94BEF"/>
    <w:rsid w:val="00D95BC5"/>
    <w:rsid w:val="00D96841"/>
    <w:rsid w:val="00D97934"/>
    <w:rsid w:val="00DA6628"/>
    <w:rsid w:val="00DA7415"/>
    <w:rsid w:val="00DA7677"/>
    <w:rsid w:val="00DB2D8E"/>
    <w:rsid w:val="00DB678F"/>
    <w:rsid w:val="00DC3B4B"/>
    <w:rsid w:val="00DD20C5"/>
    <w:rsid w:val="00DD42BD"/>
    <w:rsid w:val="00DD4814"/>
    <w:rsid w:val="00DD6825"/>
    <w:rsid w:val="00DD6913"/>
    <w:rsid w:val="00DD7101"/>
    <w:rsid w:val="00DE467A"/>
    <w:rsid w:val="00DE62CC"/>
    <w:rsid w:val="00DE7C47"/>
    <w:rsid w:val="00DF133F"/>
    <w:rsid w:val="00DF1368"/>
    <w:rsid w:val="00DF2324"/>
    <w:rsid w:val="00DF2FAD"/>
    <w:rsid w:val="00DF51AB"/>
    <w:rsid w:val="00DF7029"/>
    <w:rsid w:val="00DF7363"/>
    <w:rsid w:val="00DF7DB7"/>
    <w:rsid w:val="00E01779"/>
    <w:rsid w:val="00E02369"/>
    <w:rsid w:val="00E0403A"/>
    <w:rsid w:val="00E13292"/>
    <w:rsid w:val="00E17FD0"/>
    <w:rsid w:val="00E24461"/>
    <w:rsid w:val="00E251E1"/>
    <w:rsid w:val="00E31260"/>
    <w:rsid w:val="00E35208"/>
    <w:rsid w:val="00E362D2"/>
    <w:rsid w:val="00E45191"/>
    <w:rsid w:val="00E508C9"/>
    <w:rsid w:val="00E51A8D"/>
    <w:rsid w:val="00E52571"/>
    <w:rsid w:val="00E52A9C"/>
    <w:rsid w:val="00E52C54"/>
    <w:rsid w:val="00E559DA"/>
    <w:rsid w:val="00E7256F"/>
    <w:rsid w:val="00E7405C"/>
    <w:rsid w:val="00E75168"/>
    <w:rsid w:val="00E75E95"/>
    <w:rsid w:val="00E86B61"/>
    <w:rsid w:val="00E90412"/>
    <w:rsid w:val="00E923C3"/>
    <w:rsid w:val="00E9254F"/>
    <w:rsid w:val="00E94D71"/>
    <w:rsid w:val="00EA28A3"/>
    <w:rsid w:val="00EA5AE0"/>
    <w:rsid w:val="00EB2CD5"/>
    <w:rsid w:val="00EB5474"/>
    <w:rsid w:val="00EB628B"/>
    <w:rsid w:val="00ED1AD7"/>
    <w:rsid w:val="00ED2361"/>
    <w:rsid w:val="00ED3E50"/>
    <w:rsid w:val="00ED66B2"/>
    <w:rsid w:val="00EE2F09"/>
    <w:rsid w:val="00EE4202"/>
    <w:rsid w:val="00EF0D2E"/>
    <w:rsid w:val="00EF3F1E"/>
    <w:rsid w:val="00F00638"/>
    <w:rsid w:val="00F04422"/>
    <w:rsid w:val="00F0462C"/>
    <w:rsid w:val="00F06E38"/>
    <w:rsid w:val="00F07753"/>
    <w:rsid w:val="00F114CA"/>
    <w:rsid w:val="00F12B2B"/>
    <w:rsid w:val="00F14AFE"/>
    <w:rsid w:val="00F178C6"/>
    <w:rsid w:val="00F31457"/>
    <w:rsid w:val="00F318D6"/>
    <w:rsid w:val="00F321B2"/>
    <w:rsid w:val="00F326AC"/>
    <w:rsid w:val="00F35209"/>
    <w:rsid w:val="00F4203A"/>
    <w:rsid w:val="00F45D1E"/>
    <w:rsid w:val="00F46FB0"/>
    <w:rsid w:val="00F50579"/>
    <w:rsid w:val="00F5210A"/>
    <w:rsid w:val="00F5373E"/>
    <w:rsid w:val="00F55B49"/>
    <w:rsid w:val="00F578B3"/>
    <w:rsid w:val="00F6610E"/>
    <w:rsid w:val="00F66238"/>
    <w:rsid w:val="00F66BF8"/>
    <w:rsid w:val="00F671C3"/>
    <w:rsid w:val="00F708B1"/>
    <w:rsid w:val="00F74C13"/>
    <w:rsid w:val="00F82FE4"/>
    <w:rsid w:val="00F90124"/>
    <w:rsid w:val="00F924CC"/>
    <w:rsid w:val="00FA0894"/>
    <w:rsid w:val="00FA0F7D"/>
    <w:rsid w:val="00FA1D4A"/>
    <w:rsid w:val="00FA5C05"/>
    <w:rsid w:val="00FB039B"/>
    <w:rsid w:val="00FB0B04"/>
    <w:rsid w:val="00FB1140"/>
    <w:rsid w:val="00FB2C68"/>
    <w:rsid w:val="00FC1D52"/>
    <w:rsid w:val="00FC55B3"/>
    <w:rsid w:val="00FC6535"/>
    <w:rsid w:val="00FE029E"/>
    <w:rsid w:val="00FE0B16"/>
    <w:rsid w:val="00FE4843"/>
    <w:rsid w:val="00FF2E35"/>
    <w:rsid w:val="00FF4DC3"/>
    <w:rsid w:val="00FF5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775C"/>
  <w15:chartTrackingRefBased/>
  <w15:docId w15:val="{B1F6E506-6099-40F1-B41B-6981D09E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72"/>
    <w:pPr>
      <w:spacing w:after="0" w:line="288" w:lineRule="auto"/>
    </w:pPr>
    <w:rPr>
      <w:rFonts w:ascii="Times New Roman" w:hAnsi="Times New Roman"/>
      <w:sz w:val="24"/>
      <w:szCs w:val="24"/>
      <w:lang w:val="en-GB"/>
    </w:rPr>
  </w:style>
  <w:style w:type="paragraph" w:styleId="Heading1">
    <w:name w:val="heading 1"/>
    <w:basedOn w:val="ListParagraph"/>
    <w:next w:val="Normal"/>
    <w:link w:val="Heading1Char"/>
    <w:uiPriority w:val="9"/>
    <w:qFormat/>
    <w:rsid w:val="00082D47"/>
    <w:pPr>
      <w:numPr>
        <w:numId w:val="1"/>
      </w:numPr>
      <w:outlineLvl w:val="0"/>
    </w:pPr>
    <w:rPr>
      <w:b/>
      <w:bCs/>
    </w:rPr>
  </w:style>
  <w:style w:type="paragraph" w:styleId="Heading2">
    <w:name w:val="heading 2"/>
    <w:basedOn w:val="Kop2"/>
    <w:next w:val="Normal"/>
    <w:link w:val="Heading2Char"/>
    <w:uiPriority w:val="9"/>
    <w:unhideWhenUsed/>
    <w:qFormat/>
    <w:rsid w:val="00CA6200"/>
    <w:pPr>
      <w:outlineLvl w:val="1"/>
    </w:pPr>
  </w:style>
  <w:style w:type="paragraph" w:styleId="Heading3">
    <w:name w:val="heading 3"/>
    <w:basedOn w:val="Normal"/>
    <w:next w:val="Normal"/>
    <w:link w:val="Heading3Char"/>
    <w:uiPriority w:val="9"/>
    <w:semiHidden/>
    <w:unhideWhenUsed/>
    <w:qFormat/>
    <w:rsid w:val="007A2F94"/>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nomidioma">
    <w:name w:val="lbnomidioma"/>
    <w:basedOn w:val="DefaultParagraphFont"/>
    <w:rsid w:val="00DA6628"/>
  </w:style>
  <w:style w:type="paragraph" w:styleId="FootnoteText">
    <w:name w:val="footnote text"/>
    <w:basedOn w:val="Normal"/>
    <w:link w:val="FootnoteTextChar"/>
    <w:uiPriority w:val="99"/>
    <w:unhideWhenUsed/>
    <w:rsid w:val="00992E49"/>
    <w:pPr>
      <w:spacing w:line="240" w:lineRule="auto"/>
    </w:pPr>
    <w:rPr>
      <w:sz w:val="20"/>
      <w:szCs w:val="20"/>
    </w:rPr>
  </w:style>
  <w:style w:type="character" w:customStyle="1" w:styleId="FootnoteTextChar">
    <w:name w:val="Footnote Text Char"/>
    <w:basedOn w:val="DefaultParagraphFont"/>
    <w:link w:val="FootnoteText"/>
    <w:uiPriority w:val="99"/>
    <w:rsid w:val="00992E49"/>
    <w:rPr>
      <w:rFonts w:ascii="Times New Roman" w:hAnsi="Times New Roman"/>
      <w:sz w:val="20"/>
      <w:szCs w:val="20"/>
      <w:lang w:val="en-GB"/>
    </w:rPr>
  </w:style>
  <w:style w:type="character" w:styleId="FootnoteReference">
    <w:name w:val="footnote reference"/>
    <w:basedOn w:val="DefaultParagraphFont"/>
    <w:uiPriority w:val="99"/>
    <w:unhideWhenUsed/>
    <w:rsid w:val="00992E49"/>
    <w:rPr>
      <w:vertAlign w:val="superscript"/>
    </w:rPr>
  </w:style>
  <w:style w:type="character" w:styleId="Hyperlink">
    <w:name w:val="Hyperlink"/>
    <w:basedOn w:val="DefaultParagraphFont"/>
    <w:uiPriority w:val="99"/>
    <w:unhideWhenUsed/>
    <w:rsid w:val="00992E49"/>
    <w:rPr>
      <w:color w:val="0563C1" w:themeColor="hyperlink"/>
      <w:u w:val="single"/>
    </w:rPr>
  </w:style>
  <w:style w:type="character" w:styleId="UnresolvedMention">
    <w:name w:val="Unresolved Mention"/>
    <w:basedOn w:val="DefaultParagraphFont"/>
    <w:uiPriority w:val="99"/>
    <w:semiHidden/>
    <w:unhideWhenUsed/>
    <w:rsid w:val="00992E49"/>
    <w:rPr>
      <w:color w:val="605E5C"/>
      <w:shd w:val="clear" w:color="auto" w:fill="E1DFDD"/>
    </w:rPr>
  </w:style>
  <w:style w:type="paragraph" w:styleId="ListParagraph">
    <w:name w:val="List Paragraph"/>
    <w:basedOn w:val="Normal"/>
    <w:uiPriority w:val="34"/>
    <w:qFormat/>
    <w:rsid w:val="00A515A3"/>
    <w:pPr>
      <w:ind w:left="720"/>
      <w:contextualSpacing/>
    </w:pPr>
  </w:style>
  <w:style w:type="paragraph" w:styleId="Header">
    <w:name w:val="header"/>
    <w:basedOn w:val="Normal"/>
    <w:link w:val="HeaderChar"/>
    <w:uiPriority w:val="99"/>
    <w:unhideWhenUsed/>
    <w:rsid w:val="00C57BEC"/>
    <w:pPr>
      <w:tabs>
        <w:tab w:val="center" w:pos="4536"/>
        <w:tab w:val="right" w:pos="9072"/>
      </w:tabs>
      <w:spacing w:line="240" w:lineRule="auto"/>
    </w:pPr>
  </w:style>
  <w:style w:type="character" w:customStyle="1" w:styleId="HeaderChar">
    <w:name w:val="Header Char"/>
    <w:basedOn w:val="DefaultParagraphFont"/>
    <w:link w:val="Header"/>
    <w:uiPriority w:val="99"/>
    <w:rsid w:val="00C57BEC"/>
    <w:rPr>
      <w:rFonts w:ascii="Times New Roman" w:hAnsi="Times New Roman"/>
      <w:sz w:val="24"/>
      <w:szCs w:val="24"/>
      <w:lang w:val="en-GB"/>
    </w:rPr>
  </w:style>
  <w:style w:type="paragraph" w:styleId="Footer">
    <w:name w:val="footer"/>
    <w:basedOn w:val="Normal"/>
    <w:link w:val="FooterChar"/>
    <w:uiPriority w:val="99"/>
    <w:unhideWhenUsed/>
    <w:rsid w:val="00C57BEC"/>
    <w:pPr>
      <w:tabs>
        <w:tab w:val="center" w:pos="4536"/>
        <w:tab w:val="right" w:pos="9072"/>
      </w:tabs>
      <w:spacing w:line="240" w:lineRule="auto"/>
    </w:pPr>
  </w:style>
  <w:style w:type="character" w:customStyle="1" w:styleId="FooterChar">
    <w:name w:val="Footer Char"/>
    <w:basedOn w:val="DefaultParagraphFont"/>
    <w:link w:val="Footer"/>
    <w:uiPriority w:val="99"/>
    <w:rsid w:val="00C57BEC"/>
    <w:rPr>
      <w:rFonts w:ascii="Times New Roman" w:hAnsi="Times New Roman"/>
      <w:sz w:val="24"/>
      <w:szCs w:val="24"/>
      <w:lang w:val="en-GB"/>
    </w:rPr>
  </w:style>
  <w:style w:type="character" w:customStyle="1" w:styleId="Heading2Char">
    <w:name w:val="Heading 2 Char"/>
    <w:basedOn w:val="DefaultParagraphFont"/>
    <w:link w:val="Heading2"/>
    <w:uiPriority w:val="9"/>
    <w:rsid w:val="00CA6200"/>
    <w:rPr>
      <w:rFonts w:ascii="Times New Roman" w:hAnsi="Times New Roman"/>
      <w:b/>
      <w:bCs/>
      <w:sz w:val="24"/>
      <w:szCs w:val="24"/>
      <w:lang w:val="en-GB"/>
    </w:rPr>
  </w:style>
  <w:style w:type="paragraph" w:customStyle="1" w:styleId="Kop1">
    <w:name w:val="Kop 1"/>
    <w:basedOn w:val="Normal"/>
    <w:rsid w:val="00CA6200"/>
    <w:pPr>
      <w:numPr>
        <w:numId w:val="2"/>
      </w:numPr>
    </w:pPr>
  </w:style>
  <w:style w:type="paragraph" w:customStyle="1" w:styleId="Kop2">
    <w:name w:val="Kop 2"/>
    <w:basedOn w:val="Normal"/>
    <w:rsid w:val="00CA6200"/>
    <w:pPr>
      <w:numPr>
        <w:ilvl w:val="1"/>
        <w:numId w:val="2"/>
      </w:numPr>
    </w:pPr>
    <w:rPr>
      <w:b/>
      <w:bCs/>
    </w:rPr>
  </w:style>
  <w:style w:type="paragraph" w:customStyle="1" w:styleId="Kop3">
    <w:name w:val="Kop 3"/>
    <w:basedOn w:val="Normal"/>
    <w:rsid w:val="00CA6200"/>
    <w:pPr>
      <w:numPr>
        <w:ilvl w:val="2"/>
        <w:numId w:val="2"/>
      </w:numPr>
    </w:pPr>
  </w:style>
  <w:style w:type="paragraph" w:customStyle="1" w:styleId="Kop4">
    <w:name w:val="Kop 4"/>
    <w:basedOn w:val="Normal"/>
    <w:rsid w:val="00CA6200"/>
    <w:pPr>
      <w:numPr>
        <w:ilvl w:val="3"/>
        <w:numId w:val="2"/>
      </w:numPr>
    </w:pPr>
  </w:style>
  <w:style w:type="paragraph" w:customStyle="1" w:styleId="Kop5">
    <w:name w:val="Kop 5"/>
    <w:basedOn w:val="Normal"/>
    <w:rsid w:val="00CA6200"/>
    <w:pPr>
      <w:numPr>
        <w:ilvl w:val="4"/>
        <w:numId w:val="2"/>
      </w:numPr>
    </w:pPr>
  </w:style>
  <w:style w:type="paragraph" w:customStyle="1" w:styleId="Kop6">
    <w:name w:val="Kop 6"/>
    <w:basedOn w:val="Normal"/>
    <w:rsid w:val="00CA6200"/>
    <w:pPr>
      <w:numPr>
        <w:ilvl w:val="5"/>
        <w:numId w:val="2"/>
      </w:numPr>
    </w:pPr>
  </w:style>
  <w:style w:type="paragraph" w:customStyle="1" w:styleId="Kop7">
    <w:name w:val="Kop 7"/>
    <w:basedOn w:val="Normal"/>
    <w:rsid w:val="00CA6200"/>
    <w:pPr>
      <w:numPr>
        <w:ilvl w:val="6"/>
        <w:numId w:val="2"/>
      </w:numPr>
    </w:pPr>
  </w:style>
  <w:style w:type="paragraph" w:customStyle="1" w:styleId="Kop8">
    <w:name w:val="Kop 8"/>
    <w:basedOn w:val="Normal"/>
    <w:rsid w:val="00CA6200"/>
    <w:pPr>
      <w:numPr>
        <w:ilvl w:val="7"/>
        <w:numId w:val="2"/>
      </w:numPr>
    </w:pPr>
  </w:style>
  <w:style w:type="paragraph" w:customStyle="1" w:styleId="Kop9">
    <w:name w:val="Kop 9"/>
    <w:basedOn w:val="Normal"/>
    <w:rsid w:val="00CA6200"/>
    <w:pPr>
      <w:numPr>
        <w:ilvl w:val="8"/>
        <w:numId w:val="2"/>
      </w:numPr>
    </w:pPr>
  </w:style>
  <w:style w:type="character" w:customStyle="1" w:styleId="Heading3Char">
    <w:name w:val="Heading 3 Char"/>
    <w:basedOn w:val="DefaultParagraphFont"/>
    <w:link w:val="Heading3"/>
    <w:uiPriority w:val="9"/>
    <w:semiHidden/>
    <w:rsid w:val="00082D47"/>
    <w:rPr>
      <w:rFonts w:ascii="Times New Roman" w:eastAsiaTheme="majorEastAsia" w:hAnsi="Times New Roman" w:cstheme="majorBidi"/>
      <w:sz w:val="24"/>
      <w:szCs w:val="24"/>
      <w:lang w:val="en-GB"/>
    </w:rPr>
  </w:style>
  <w:style w:type="character" w:customStyle="1" w:styleId="Heading1Char">
    <w:name w:val="Heading 1 Char"/>
    <w:basedOn w:val="DefaultParagraphFont"/>
    <w:link w:val="Heading1"/>
    <w:uiPriority w:val="9"/>
    <w:rsid w:val="00082D47"/>
    <w:rPr>
      <w:rFonts w:ascii="Times New Roman" w:hAnsi="Times New Roman"/>
      <w:b/>
      <w:bCs/>
      <w:sz w:val="24"/>
      <w:szCs w:val="24"/>
      <w:lang w:val="en-GB"/>
    </w:rPr>
  </w:style>
  <w:style w:type="paragraph" w:styleId="NormalWeb">
    <w:name w:val="Normal (Web)"/>
    <w:basedOn w:val="Normal"/>
    <w:uiPriority w:val="99"/>
    <w:semiHidden/>
    <w:unhideWhenUsed/>
    <w:rsid w:val="006D223F"/>
    <w:pPr>
      <w:spacing w:before="100" w:beforeAutospacing="1" w:after="100" w:afterAutospacing="1" w:line="240" w:lineRule="auto"/>
    </w:pPr>
    <w:rPr>
      <w:rFonts w:eastAsia="Times New Roman" w:cs="Times New Roman"/>
      <w:lang w:val="nl-NL" w:eastAsia="nl-NL"/>
    </w:rPr>
  </w:style>
  <w:style w:type="character" w:customStyle="1" w:styleId="markedcontent">
    <w:name w:val="markedcontent"/>
    <w:basedOn w:val="DefaultParagraphFont"/>
    <w:rsid w:val="00E251E1"/>
  </w:style>
  <w:style w:type="paragraph" w:customStyle="1" w:styleId="s30eec3f8">
    <w:name w:val="s30eec3f8"/>
    <w:basedOn w:val="Normal"/>
    <w:rsid w:val="001C6B79"/>
    <w:pPr>
      <w:spacing w:before="100" w:beforeAutospacing="1" w:after="100" w:afterAutospacing="1" w:line="240" w:lineRule="auto"/>
    </w:pPr>
    <w:rPr>
      <w:rFonts w:eastAsia="Times New Roman" w:cs="Times New Roman"/>
      <w:lang w:eastAsia="en-GB"/>
    </w:rPr>
  </w:style>
  <w:style w:type="character" w:customStyle="1" w:styleId="sb8d990e2">
    <w:name w:val="sb8d990e2"/>
    <w:basedOn w:val="DefaultParagraphFont"/>
    <w:rsid w:val="001C6B79"/>
  </w:style>
  <w:style w:type="character" w:customStyle="1" w:styleId="s6b621b36">
    <w:name w:val="s6b621b36"/>
    <w:basedOn w:val="DefaultParagraphFont"/>
    <w:rsid w:val="001C6B79"/>
  </w:style>
  <w:style w:type="character" w:customStyle="1" w:styleId="normaltextrun">
    <w:name w:val="normaltextrun"/>
    <w:basedOn w:val="DefaultParagraphFont"/>
    <w:rsid w:val="00B3094E"/>
  </w:style>
  <w:style w:type="character" w:styleId="Emphasis">
    <w:name w:val="Emphasis"/>
    <w:basedOn w:val="DefaultParagraphFont"/>
    <w:uiPriority w:val="20"/>
    <w:qFormat/>
    <w:rsid w:val="00877A92"/>
    <w:rPr>
      <w:i/>
      <w:iCs/>
    </w:rPr>
  </w:style>
  <w:style w:type="paragraph" w:customStyle="1" w:styleId="Hoofdtekst">
    <w:name w:val="Hoofdtekst"/>
    <w:rsid w:val="00B26D5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Times New Roman" w:hAnsi="Helvetica Neue" w:cs="Arial Unicode MS"/>
      <w:color w:val="000000"/>
      <w:lang w:val="en-US" w:eastAsia="en-GB"/>
    </w:rPr>
  </w:style>
  <w:style w:type="character" w:customStyle="1" w:styleId="column">
    <w:name w:val="column"/>
    <w:basedOn w:val="DefaultParagraphFont"/>
    <w:rsid w:val="00645389"/>
  </w:style>
  <w:style w:type="character" w:customStyle="1" w:styleId="summarytext">
    <w:name w:val="summarytext"/>
    <w:basedOn w:val="DefaultParagraphFont"/>
    <w:rsid w:val="00645389"/>
  </w:style>
  <w:style w:type="character" w:customStyle="1" w:styleId="textcolumn">
    <w:name w:val="textcolumn"/>
    <w:basedOn w:val="DefaultParagraphFont"/>
    <w:rsid w:val="00645389"/>
  </w:style>
  <w:style w:type="character" w:styleId="FollowedHyperlink">
    <w:name w:val="FollowedHyperlink"/>
    <w:basedOn w:val="DefaultParagraphFont"/>
    <w:uiPriority w:val="99"/>
    <w:semiHidden/>
    <w:unhideWhenUsed/>
    <w:rsid w:val="007376E1"/>
    <w:rPr>
      <w:color w:val="954F72" w:themeColor="followedHyperlink"/>
      <w:u w:val="single"/>
    </w:rPr>
  </w:style>
  <w:style w:type="character" w:customStyle="1" w:styleId="hgkelc">
    <w:name w:val="hgkelc"/>
    <w:basedOn w:val="DefaultParagraphFont"/>
    <w:rsid w:val="0083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06136">
      <w:bodyDiv w:val="1"/>
      <w:marLeft w:val="0"/>
      <w:marRight w:val="0"/>
      <w:marTop w:val="0"/>
      <w:marBottom w:val="0"/>
      <w:divBdr>
        <w:top w:val="none" w:sz="0" w:space="0" w:color="auto"/>
        <w:left w:val="none" w:sz="0" w:space="0" w:color="auto"/>
        <w:bottom w:val="none" w:sz="0" w:space="0" w:color="auto"/>
        <w:right w:val="none" w:sz="0" w:space="0" w:color="auto"/>
      </w:divBdr>
      <w:divsChild>
        <w:div w:id="2004619021">
          <w:marLeft w:val="720"/>
          <w:marRight w:val="0"/>
          <w:marTop w:val="120"/>
          <w:marBottom w:val="0"/>
          <w:divBdr>
            <w:top w:val="none" w:sz="0" w:space="0" w:color="auto"/>
            <w:left w:val="none" w:sz="0" w:space="0" w:color="auto"/>
            <w:bottom w:val="none" w:sz="0" w:space="0" w:color="auto"/>
            <w:right w:val="none" w:sz="0" w:space="0" w:color="auto"/>
          </w:divBdr>
        </w:div>
        <w:div w:id="1310668855">
          <w:marLeft w:val="720"/>
          <w:marRight w:val="0"/>
          <w:marTop w:val="120"/>
          <w:marBottom w:val="0"/>
          <w:divBdr>
            <w:top w:val="none" w:sz="0" w:space="0" w:color="auto"/>
            <w:left w:val="none" w:sz="0" w:space="0" w:color="auto"/>
            <w:bottom w:val="none" w:sz="0" w:space="0" w:color="auto"/>
            <w:right w:val="none" w:sz="0" w:space="0" w:color="auto"/>
          </w:divBdr>
        </w:div>
      </w:divsChild>
    </w:div>
    <w:div w:id="665280682">
      <w:bodyDiv w:val="1"/>
      <w:marLeft w:val="0"/>
      <w:marRight w:val="0"/>
      <w:marTop w:val="0"/>
      <w:marBottom w:val="0"/>
      <w:divBdr>
        <w:top w:val="none" w:sz="0" w:space="0" w:color="auto"/>
        <w:left w:val="none" w:sz="0" w:space="0" w:color="auto"/>
        <w:bottom w:val="none" w:sz="0" w:space="0" w:color="auto"/>
        <w:right w:val="none" w:sz="0" w:space="0" w:color="auto"/>
      </w:divBdr>
    </w:div>
    <w:div w:id="766468265">
      <w:bodyDiv w:val="1"/>
      <w:marLeft w:val="0"/>
      <w:marRight w:val="0"/>
      <w:marTop w:val="0"/>
      <w:marBottom w:val="0"/>
      <w:divBdr>
        <w:top w:val="none" w:sz="0" w:space="0" w:color="auto"/>
        <w:left w:val="none" w:sz="0" w:space="0" w:color="auto"/>
        <w:bottom w:val="none" w:sz="0" w:space="0" w:color="auto"/>
        <w:right w:val="none" w:sz="0" w:space="0" w:color="auto"/>
      </w:divBdr>
    </w:div>
    <w:div w:id="1428161286">
      <w:bodyDiv w:val="1"/>
      <w:marLeft w:val="0"/>
      <w:marRight w:val="0"/>
      <w:marTop w:val="0"/>
      <w:marBottom w:val="0"/>
      <w:divBdr>
        <w:top w:val="none" w:sz="0" w:space="0" w:color="auto"/>
        <w:left w:val="none" w:sz="0" w:space="0" w:color="auto"/>
        <w:bottom w:val="none" w:sz="0" w:space="0" w:color="auto"/>
        <w:right w:val="none" w:sz="0" w:space="0" w:color="auto"/>
      </w:divBdr>
    </w:div>
    <w:div w:id="1737162801">
      <w:bodyDiv w:val="1"/>
      <w:marLeft w:val="0"/>
      <w:marRight w:val="0"/>
      <w:marTop w:val="0"/>
      <w:marBottom w:val="0"/>
      <w:divBdr>
        <w:top w:val="none" w:sz="0" w:space="0" w:color="auto"/>
        <w:left w:val="none" w:sz="0" w:space="0" w:color="auto"/>
        <w:bottom w:val="none" w:sz="0" w:space="0" w:color="auto"/>
        <w:right w:val="none" w:sz="0" w:space="0" w:color="auto"/>
      </w:divBdr>
      <w:divsChild>
        <w:div w:id="1015812010">
          <w:marLeft w:val="480"/>
          <w:marRight w:val="0"/>
          <w:marTop w:val="0"/>
          <w:marBottom w:val="0"/>
          <w:divBdr>
            <w:top w:val="none" w:sz="0" w:space="0" w:color="auto"/>
            <w:left w:val="none" w:sz="0" w:space="0" w:color="auto"/>
            <w:bottom w:val="none" w:sz="0" w:space="0" w:color="auto"/>
            <w:right w:val="none" w:sz="0" w:space="0" w:color="auto"/>
          </w:divBdr>
          <w:divsChild>
            <w:div w:id="3491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727">
      <w:bodyDiv w:val="1"/>
      <w:marLeft w:val="0"/>
      <w:marRight w:val="0"/>
      <w:marTop w:val="0"/>
      <w:marBottom w:val="0"/>
      <w:divBdr>
        <w:top w:val="none" w:sz="0" w:space="0" w:color="auto"/>
        <w:left w:val="none" w:sz="0" w:space="0" w:color="auto"/>
        <w:bottom w:val="none" w:sz="0" w:space="0" w:color="auto"/>
        <w:right w:val="none" w:sz="0" w:space="0" w:color="auto"/>
      </w:divBdr>
    </w:div>
    <w:div w:id="1840928022">
      <w:bodyDiv w:val="1"/>
      <w:marLeft w:val="0"/>
      <w:marRight w:val="0"/>
      <w:marTop w:val="0"/>
      <w:marBottom w:val="0"/>
      <w:divBdr>
        <w:top w:val="none" w:sz="0" w:space="0" w:color="auto"/>
        <w:left w:val="none" w:sz="0" w:space="0" w:color="auto"/>
        <w:bottom w:val="none" w:sz="0" w:space="0" w:color="auto"/>
        <w:right w:val="none" w:sz="0" w:space="0" w:color="auto"/>
      </w:divBdr>
    </w:div>
    <w:div w:id="20637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esco.org/en/communication-information/open-solutions/open-data" TargetMode="External"/><Relationship Id="rId2" Type="http://schemas.openxmlformats.org/officeDocument/2006/relationships/hyperlink" Target="https://www.oecd.org/gov/digital-government/open-government-data.htm" TargetMode="External"/><Relationship Id="rId1" Type="http://schemas.openxmlformats.org/officeDocument/2006/relationships/hyperlink" Target="http://opendatatoolkit.worldbank.org/en/" TargetMode="External"/><Relationship Id="rId6" Type="http://schemas.openxmlformats.org/officeDocument/2006/relationships/hyperlink" Target="https://www.coe.int/en/web/conventions/full-list/-/conventions/treaty/205" TargetMode="External"/><Relationship Id="rId5" Type="http://schemas.openxmlformats.org/officeDocument/2006/relationships/hyperlink" Target="https://www.rti-rating.org/historical/" TargetMode="External"/><Relationship Id="rId4" Type="http://schemas.openxmlformats.org/officeDocument/2006/relationships/hyperlink" Target="https://www.rti-rating.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A953-41D2-4F51-AA06-E201DA85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4654</Words>
  <Characters>25600</Characters>
  <Application>Microsoft Office Word</Application>
  <DocSecurity>4</DocSecurity>
  <Lines>213</Lines>
  <Paragraphs>60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Trend: The rise of access to information laws</vt:lpstr>
      <vt:lpstr>The rise of re-use laws and the idea of open data</vt:lpstr>
      <vt:lpstr>Copyright and related rights in information held by public bodies</vt:lpstr>
      <vt:lpstr>Going forward</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van Eechoud</dc:creator>
  <cp:keywords/>
  <dc:description/>
  <cp:lastModifiedBy>Rosanne van der Waal</cp:lastModifiedBy>
  <cp:revision>2</cp:revision>
  <dcterms:created xsi:type="dcterms:W3CDTF">2025-01-23T11:35:00Z</dcterms:created>
  <dcterms:modified xsi:type="dcterms:W3CDTF">2025-01-23T11:35:00Z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id="vjK8pgqU"/&gt;&lt;style id="http://www.zotero.org/styles/chicago-fullnote-bibliography" locale="nl-NL"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